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E84B0F">
            <w:pPr>
              <w:framePr w:hSpace="180" w:wrap="auto" w:vAnchor="page" w:hAnchor="margin" w:x="358" w:y="905"/>
              <w:rPr>
                <w:sz w:val="28"/>
                <w:szCs w:val="28"/>
              </w:rPr>
            </w:pPr>
            <w:r w:rsidRPr="00207827">
              <w:rPr>
                <w:szCs w:val="24"/>
              </w:rPr>
              <w:t>«</w:t>
            </w:r>
            <w:r w:rsidR="0027588B">
              <w:rPr>
                <w:szCs w:val="24"/>
              </w:rPr>
              <w:t>09</w:t>
            </w:r>
            <w:r w:rsidRPr="00207827">
              <w:rPr>
                <w:szCs w:val="24"/>
              </w:rPr>
              <w:t xml:space="preserve">» </w:t>
            </w:r>
            <w:r w:rsidR="0027588B">
              <w:rPr>
                <w:szCs w:val="24"/>
              </w:rPr>
              <w:t>марта</w:t>
            </w:r>
            <w:r w:rsidR="00CC3A0D">
              <w:rPr>
                <w:szCs w:val="24"/>
              </w:rPr>
              <w:t xml:space="preserve"> </w:t>
            </w:r>
            <w:r>
              <w:rPr>
                <w:szCs w:val="24"/>
              </w:rPr>
              <w:t>202</w:t>
            </w:r>
            <w:r w:rsidR="0027588B">
              <w:rPr>
                <w:szCs w:val="24"/>
              </w:rPr>
              <w:t>3</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FA592F" w:rsidP="0072342E">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72342E">
            <w:pPr>
              <w:framePr w:hSpace="180" w:wrap="auto" w:vAnchor="page" w:hAnchor="margin" w:x="358" w:y="905"/>
              <w:rPr>
                <w:szCs w:val="24"/>
              </w:rPr>
            </w:pPr>
            <w:r>
              <w:rPr>
                <w:szCs w:val="24"/>
              </w:rPr>
              <w:t>АО «РЕГИОН ЭсМ»</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1B3087" w:rsidRPr="00207827" w:rsidRDefault="001B3087"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E84B0F">
            <w:pPr>
              <w:framePr w:hSpace="180" w:wrap="auto" w:vAnchor="page" w:hAnchor="margin" w:x="358" w:y="905"/>
              <w:tabs>
                <w:tab w:val="left" w:pos="2722"/>
              </w:tabs>
              <w:rPr>
                <w:szCs w:val="24"/>
              </w:rPr>
            </w:pPr>
            <w:r w:rsidRPr="00207827">
              <w:rPr>
                <w:szCs w:val="24"/>
              </w:rPr>
              <w:t>«</w:t>
            </w:r>
            <w:r w:rsidR="0027588B">
              <w:rPr>
                <w:szCs w:val="24"/>
              </w:rPr>
              <w:t>09</w:t>
            </w:r>
            <w:r w:rsidR="00AF5515" w:rsidRPr="00207827">
              <w:rPr>
                <w:szCs w:val="24"/>
              </w:rPr>
              <w:t xml:space="preserve">» </w:t>
            </w:r>
            <w:r w:rsidR="0027588B">
              <w:rPr>
                <w:szCs w:val="24"/>
              </w:rPr>
              <w:t>марта</w:t>
            </w:r>
            <w:r w:rsidR="00CC3A0D">
              <w:rPr>
                <w:szCs w:val="24"/>
              </w:rPr>
              <w:t xml:space="preserve"> </w:t>
            </w:r>
            <w:r w:rsidR="00F115D7">
              <w:rPr>
                <w:szCs w:val="24"/>
              </w:rPr>
              <w:t>202</w:t>
            </w:r>
            <w:r w:rsidR="0027588B">
              <w:rPr>
                <w:szCs w:val="24"/>
              </w:rPr>
              <w:t>3</w:t>
            </w:r>
            <w:r w:rsidR="00781DD6">
              <w:rPr>
                <w:szCs w:val="24"/>
              </w:rPr>
              <w:t xml:space="preserve"> </w:t>
            </w:r>
            <w:r w:rsidR="00AD7AEA" w:rsidRPr="00207827">
              <w:rPr>
                <w:szCs w:val="24"/>
              </w:rPr>
              <w:t>г.</w:t>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5B0327" w:rsidRPr="00664B66" w:rsidRDefault="005B0327" w:rsidP="005B0327">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4</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sidRPr="00C560B9">
        <w:rPr>
          <w:b/>
          <w:szCs w:val="24"/>
        </w:rPr>
        <w:t>РЕГИОН Доходные облигации</w:t>
      </w:r>
      <w:r w:rsidRPr="004C4973">
        <w:rPr>
          <w:b/>
          <w:szCs w:val="24"/>
        </w:rPr>
        <w:t>»</w:t>
      </w:r>
    </w:p>
    <w:p w:rsidR="005B0327" w:rsidRPr="004C4973" w:rsidRDefault="005B0327" w:rsidP="005B0327">
      <w:pPr>
        <w:ind w:left="360"/>
        <w:jc w:val="center"/>
        <w:rPr>
          <w:b/>
          <w:szCs w:val="24"/>
        </w:rPr>
      </w:pPr>
    </w:p>
    <w:p w:rsidR="005B0327" w:rsidRPr="00664B66" w:rsidRDefault="005B0327" w:rsidP="005B0327">
      <w:pPr>
        <w:ind w:left="360"/>
        <w:rPr>
          <w:szCs w:val="24"/>
        </w:rPr>
      </w:pPr>
    </w:p>
    <w:p w:rsidR="00EC5B37" w:rsidRPr="006D7089" w:rsidRDefault="005B0327" w:rsidP="005B0327">
      <w:pPr>
        <w:ind w:left="360"/>
        <w:rPr>
          <w:sz w:val="28"/>
          <w:szCs w:val="28"/>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A831A0" w:rsidRPr="00207827" w:rsidRDefault="00A831A0" w:rsidP="0072342E">
      <w:pPr>
        <w:ind w:left="360"/>
        <w:rPr>
          <w:sz w:val="28"/>
          <w:szCs w:val="28"/>
        </w:rPr>
      </w:pPr>
    </w:p>
    <w:p w:rsidR="00484282" w:rsidRDefault="00484282" w:rsidP="0072342E">
      <w:pPr>
        <w:ind w:left="360"/>
        <w:rPr>
          <w:sz w:val="28"/>
          <w:szCs w:val="28"/>
        </w:rPr>
      </w:pPr>
    </w:p>
    <w:p w:rsidR="005B0327" w:rsidRPr="00207827" w:rsidRDefault="005B0327" w:rsidP="0072342E">
      <w:pPr>
        <w:ind w:left="360"/>
        <w:rPr>
          <w:sz w:val="28"/>
          <w:szCs w:val="28"/>
        </w:rPr>
      </w:pPr>
    </w:p>
    <w:p w:rsidR="00484282" w:rsidRPr="00207827" w:rsidRDefault="00484282" w:rsidP="0072342E">
      <w:pPr>
        <w:jc w:val="center"/>
        <w:rPr>
          <w:b/>
          <w:bCs/>
          <w:sz w:val="34"/>
          <w:szCs w:val="34"/>
        </w:rPr>
      </w:pPr>
      <w:r w:rsidRPr="00207827">
        <w:rPr>
          <w:b/>
          <w:bCs/>
          <w:sz w:val="34"/>
          <w:szCs w:val="34"/>
        </w:rPr>
        <w:t>ПРАВИЛА</w:t>
      </w:r>
    </w:p>
    <w:p w:rsidR="00E67D84" w:rsidRPr="00287F00" w:rsidRDefault="00E67D84" w:rsidP="0072342E">
      <w:pPr>
        <w:ind w:left="-284" w:right="-284"/>
        <w:jc w:val="center"/>
        <w:rPr>
          <w:b/>
          <w:bCs/>
          <w:sz w:val="32"/>
          <w:szCs w:val="32"/>
        </w:rPr>
      </w:pPr>
      <w:r w:rsidRPr="00287F00">
        <w:rPr>
          <w:b/>
          <w:bCs/>
          <w:sz w:val="32"/>
          <w:szCs w:val="32"/>
        </w:rPr>
        <w:t xml:space="preserve">определения стоимости чистых активов </w:t>
      </w:r>
    </w:p>
    <w:p w:rsidR="00C34527" w:rsidRPr="00483C3E" w:rsidRDefault="00C34527" w:rsidP="00C34527">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216978" w:rsidRPr="00216978">
        <w:rPr>
          <w:b/>
          <w:bCs/>
          <w:sz w:val="32"/>
          <w:szCs w:val="32"/>
        </w:rPr>
        <w:t>"РЕГИОН Доходные облигации"</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532BF0" w:rsidRDefault="00532BF0" w:rsidP="0072342E"/>
    <w:p w:rsidR="00532BF0" w:rsidRDefault="00532BF0" w:rsidP="0072342E"/>
    <w:p w:rsidR="004B2768" w:rsidRDefault="004B2768" w:rsidP="0072342E"/>
    <w:p w:rsidR="004B2768" w:rsidRDefault="004B2768" w:rsidP="0072342E"/>
    <w:p w:rsidR="004B2768" w:rsidRDefault="004B2768" w:rsidP="0072342E"/>
    <w:p w:rsidR="004B2768" w:rsidRDefault="004B2768"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C34527" w:rsidRPr="00F825E1">
        <w:rPr>
          <w:rFonts w:ascii="Times New Roman" w:hAnsi="Times New Roman"/>
          <w:sz w:val="24"/>
          <w:szCs w:val="24"/>
        </w:rPr>
        <w:t xml:space="preserve">Открытого паевого инвестиционного фонда </w:t>
      </w:r>
      <w:r w:rsidR="00C34527">
        <w:rPr>
          <w:rFonts w:ascii="Times New Roman" w:hAnsi="Times New Roman"/>
          <w:sz w:val="24"/>
          <w:szCs w:val="24"/>
        </w:rPr>
        <w:t>рыночных финансовых инструментов</w:t>
      </w:r>
      <w:r w:rsidR="00C34527" w:rsidRPr="000C6C4D">
        <w:rPr>
          <w:rFonts w:ascii="Times New Roman" w:hAnsi="Times New Roman"/>
          <w:sz w:val="24"/>
          <w:szCs w:val="24"/>
        </w:rPr>
        <w:t xml:space="preserve"> </w:t>
      </w:r>
      <w:r w:rsidR="00216978" w:rsidRPr="00216978">
        <w:rPr>
          <w:rFonts w:ascii="Times New Roman" w:hAnsi="Times New Roman"/>
          <w:sz w:val="24"/>
          <w:szCs w:val="24"/>
        </w:rPr>
        <w:t>"РЕГИОН Доходные облигации"</w:t>
      </w:r>
      <w:r w:rsidR="00216978" w:rsidRPr="00216978" w:rsidDel="00216978">
        <w:rPr>
          <w:rFonts w:ascii="Times New Roman" w:hAnsi="Times New Roman"/>
          <w:sz w:val="24"/>
          <w:szCs w:val="24"/>
        </w:rPr>
        <w:t xml:space="preserve"> </w:t>
      </w:r>
      <w:r w:rsidR="00E67D84" w:rsidRPr="00F825E1">
        <w:rPr>
          <w:rFonts w:ascii="Times New Roman" w:hAnsi="Times New Roman"/>
          <w:sz w:val="24"/>
          <w:szCs w:val="24"/>
        </w:rPr>
        <w:t xml:space="preserve">под управлением Акционерного общества «РЕГИОН Эссет Менеджмент»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B11E79" w:rsidRDefault="008068EC" w:rsidP="0072342E">
      <w:pPr>
        <w:pStyle w:val="a0"/>
      </w:pPr>
      <w:r w:rsidRPr="00B11E79">
        <w:t xml:space="preserve">Правила определения СЧА </w:t>
      </w:r>
      <w:r w:rsidR="0042481A" w:rsidRPr="00B11E79">
        <w:t xml:space="preserve">в настоящей редакции </w:t>
      </w:r>
      <w:r w:rsidRPr="00B11E79">
        <w:t xml:space="preserve">применяются </w:t>
      </w:r>
      <w:r w:rsidR="0042481A" w:rsidRPr="00B11E79">
        <w:t xml:space="preserve">с </w:t>
      </w:r>
      <w:r w:rsidR="0027588B" w:rsidRPr="00B11E79">
        <w:t>17 марта</w:t>
      </w:r>
      <w:r w:rsidR="004E6C9F" w:rsidRPr="00B11E79">
        <w:t xml:space="preserve"> </w:t>
      </w:r>
      <w:r w:rsidR="00CC3A0D" w:rsidRPr="00B11E79">
        <w:t xml:space="preserve">   </w:t>
      </w:r>
      <w:r w:rsidR="0042481A" w:rsidRPr="00B11E79">
        <w:t>20</w:t>
      </w:r>
      <w:r w:rsidR="00EC149B" w:rsidRPr="00B11E79">
        <w:t>2</w:t>
      </w:r>
      <w:r w:rsidR="0027588B" w:rsidRPr="00B11E79">
        <w:t>3</w:t>
      </w:r>
      <w:r w:rsidR="0042481A" w:rsidRPr="00B11E79">
        <w:t>г.</w:t>
      </w:r>
      <w:r w:rsidRPr="00B11E79">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D652B9">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739880012"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25pt;height:15.75pt" o:ole="">
            <v:imagedata r:id="rId11" o:title=""/>
          </v:shape>
          <o:OLEObject Type="Embed" ProgID="Equation.3" ShapeID="_x0000_i1026" DrawAspect="Content" ObjectID="_1739880013"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39880014"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3.5pt;height:21pt" o:ole="">
            <v:imagedata r:id="rId15" o:title=""/>
          </v:shape>
          <o:OLEObject Type="Embed" ProgID="Equation.3" ShapeID="_x0000_i1028" DrawAspect="Content" ObjectID="_1739880015"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21pt" o:ole="">
            <v:imagedata r:id="rId17" o:title=""/>
          </v:shape>
          <o:OLEObject Type="Embed" ProgID="Equation.3" ShapeID="_x0000_i1029" DrawAspect="Content" ObjectID="_1739880016"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7.25pt" o:ole="">
            <v:imagedata r:id="rId19" o:title=""/>
          </v:shape>
          <o:OLEObject Type="Embed" ProgID="Equation.3" ShapeID="_x0000_i1030" DrawAspect="Content" ObjectID="_1739880017"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25pt;height:18.75pt" o:ole="">
            <v:imagedata r:id="rId21" o:title=""/>
          </v:shape>
          <o:OLEObject Type="Embed" ProgID="Equation.3" ShapeID="_x0000_i1031" DrawAspect="Content" ObjectID="_1739880018"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39880019"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25pt;height:8.25pt" o:ole="">
            <v:imagedata r:id="rId25" o:title=""/>
          </v:shape>
          <o:OLEObject Type="Embed" ProgID="Equation.3" ShapeID="_x0000_i1033" DrawAspect="Content" ObjectID="_1739880020"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1pt" o:ole="">
            <v:imagedata r:id="rId27" o:title=""/>
          </v:shape>
          <o:OLEObject Type="Embed" ProgID="Equation.3" ShapeID="_x0000_i1034" DrawAspect="Content" ObjectID="_1739880021"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39880022"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21pt" o:ole="">
            <v:imagedata r:id="rId31" o:title=""/>
          </v:shape>
          <o:OLEObject Type="Embed" ProgID="Equation.3" ShapeID="_x0000_i1036" DrawAspect="Content" ObjectID="_1739880023"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25pt;height:32.25pt" o:ole="">
                  <v:imagedata r:id="rId33" o:title=""/>
                </v:shape>
                <o:OLEObject Type="Embed" ProgID="Equation.3" ShapeID="_x0000_i1038" DrawAspect="Content" ObjectID="_1739880024"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21pt" o:ole="">
            <v:imagedata r:id="rId35" o:title=""/>
          </v:shape>
          <o:OLEObject Type="Embed" ProgID="Equation.3" ShapeID="_x0000_i1039" DrawAspect="Content" ObjectID="_1739880025"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3.5pt;height:21pt" o:ole="">
            <v:imagedata r:id="rId37" o:title=""/>
          </v:shape>
          <o:OLEObject Type="Embed" ProgID="Equation.3" ShapeID="_x0000_i1040" DrawAspect="Content" ObjectID="_1739880026"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0.5pt;height:51pt" o:ole="">
            <v:imagedata r:id="rId39" o:title=""/>
          </v:shape>
          <o:OLEObject Type="Embed" ProgID="Equation.3" ShapeID="_x0000_i1041" DrawAspect="Content" ObjectID="_1739880027"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21pt" o:ole="">
            <v:imagedata r:id="rId41" o:title=""/>
          </v:shape>
          <o:OLEObject Type="Embed" ProgID="Equation.3" ShapeID="_x0000_i1042" DrawAspect="Content" ObjectID="_1739880028"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21pt" o:ole="">
            <v:imagedata r:id="rId43" o:title=""/>
          </v:shape>
          <o:OLEObject Type="Embed" ProgID="Equation.3" ShapeID="_x0000_i1043" DrawAspect="Content" ObjectID="_1739880029"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39880030"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21pt" o:ole="">
            <v:imagedata r:id="rId46" o:title=""/>
          </v:shape>
          <o:OLEObject Type="Embed" ProgID="Equation.3" ShapeID="_x0000_i1045" DrawAspect="Content" ObjectID="_1739880031"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21pt" o:ole="">
            <v:imagedata r:id="rId43" o:title=""/>
          </v:shape>
          <o:OLEObject Type="Embed" ProgID="Equation.3" ShapeID="_x0000_i1046" DrawAspect="Content" ObjectID="_1739880032"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21pt" o:ole="">
            <v:imagedata r:id="rId46" o:title=""/>
          </v:shape>
          <o:OLEObject Type="Embed" ProgID="Equation.3" ShapeID="_x0000_i1047" DrawAspect="Content" ObjectID="_1739880033"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21pt" o:ole="">
            <v:imagedata r:id="rId43" o:title=""/>
          </v:shape>
          <o:OLEObject Type="Embed" ProgID="Equation.3" ShapeID="_x0000_i1048" DrawAspect="Content" ObjectID="_1739880034"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21pt" o:ole="">
            <v:imagedata r:id="rId51" o:title=""/>
          </v:shape>
          <o:OLEObject Type="Embed" ProgID="Equation.3" ShapeID="_x0000_i1049" DrawAspect="Content" ObjectID="_1739880035"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3.5pt;height:15.75pt" o:ole="">
            <v:imagedata r:id="rId53" o:title=""/>
          </v:shape>
          <o:OLEObject Type="Embed" ProgID="Equation.3" ShapeID="_x0000_i1050" DrawAspect="Content" ObjectID="_1739880036"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21pt" o:ole="">
            <v:imagedata r:id="rId43" o:title=""/>
          </v:shape>
          <o:OLEObject Type="Embed" ProgID="Equation.3" ShapeID="_x0000_i1051" DrawAspect="Content" ObjectID="_1739880037"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0.5pt" o:ole="">
            <v:imagedata r:id="rId56" o:title=""/>
          </v:shape>
          <o:OLEObject Type="Embed" ProgID="Equation.3" ShapeID="_x0000_i1052" DrawAspect="Content" ObjectID="_1739880038"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1pt;height:21pt" o:ole="">
            <v:imagedata r:id="rId58" o:title=""/>
          </v:shape>
          <o:OLEObject Type="Embed" ProgID="Equation.3" ShapeID="_x0000_i1053" DrawAspect="Content" ObjectID="_1739880039"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21pt" o:ole="">
            <v:imagedata r:id="rId60" o:title=""/>
          </v:shape>
          <o:OLEObject Type="Embed" ProgID="Equation.3" ShapeID="_x0000_i1054" DrawAspect="Content" ObjectID="_1739880040"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2.25pt" o:ole="">
            <v:imagedata r:id="rId62" o:title=""/>
          </v:shape>
          <o:OLEObject Type="Embed" ProgID="Equation.3" ShapeID="_x0000_i1055" DrawAspect="Content" ObjectID="_1739880041"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25pt;height:8.25pt" o:ole="">
            <v:imagedata r:id="rId25" o:title=""/>
          </v:shape>
          <o:OLEObject Type="Embed" ProgID="Equation.3" ShapeID="_x0000_i1056" DrawAspect="Content" ObjectID="_1739880042"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1pt" o:ole="">
            <v:imagedata r:id="rId27" o:title=""/>
          </v:shape>
          <o:OLEObject Type="Embed" ProgID="Equation.3" ShapeID="_x0000_i1057" DrawAspect="Content" ObjectID="_1739880043"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21pt" o:ole="">
            <v:imagedata r:id="rId46" o:title=""/>
          </v:shape>
          <o:OLEObject Type="Embed" ProgID="Equation.3" ShapeID="_x0000_i1058" DrawAspect="Content" ObjectID="_1739880044"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39880045"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21pt" o:ole="">
            <v:imagedata r:id="rId46" o:title=""/>
          </v:shape>
          <o:OLEObject Type="Embed" ProgID="Equation.3" ShapeID="_x0000_i1060" DrawAspect="Content" ObjectID="_1739880046"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21pt" o:ole="">
            <v:imagedata r:id="rId31" o:title=""/>
          </v:shape>
          <o:OLEObject Type="Embed" ProgID="Equation.3" ShapeID="_x0000_i1061" DrawAspect="Content" ObjectID="_1739880047"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21pt" o:ole="">
            <v:imagedata r:id="rId46" o:title=""/>
          </v:shape>
          <o:OLEObject Type="Embed" ProgID="Equation.3" ShapeID="_x0000_i1062" DrawAspect="Content" ObjectID="_1739880048"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5.75pt;height:21pt" o:ole="">
            <v:imagedata r:id="rId71" o:title=""/>
          </v:shape>
          <o:OLEObject Type="Embed" ProgID="Equation.3" ShapeID="_x0000_i1063" DrawAspect="Content" ObjectID="_1739880049"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21pt" o:ole="">
            <v:imagedata r:id="rId31" o:title=""/>
          </v:shape>
          <o:OLEObject Type="Embed" ProgID="Equation.3" ShapeID="_x0000_i1064" DrawAspect="Content" ObjectID="_1739880050"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21pt" o:ole="">
            <v:imagedata r:id="rId46" o:title=""/>
          </v:shape>
          <o:OLEObject Type="Embed" ProgID="Equation.3" ShapeID="_x0000_i1065" DrawAspect="Content" ObjectID="_1739880051"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2.25pt" o:ole="">
            <v:imagedata r:id="rId75" o:title=""/>
          </v:shape>
          <o:OLEObject Type="Embed" ProgID="Equation.3" ShapeID="_x0000_i1066" DrawAspect="Content" ObjectID="_1739880052"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4.25pt;height:66pt" o:ole="">
              <v:imagedata r:id="rId77" o:title=""/>
            </v:shape>
            <o:OLEObject Type="Embed" ProgID="Equation.3" ShapeID="_x0000_i1067" DrawAspect="Content" ObjectID="_1739880053"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2.25pt" o:ole="">
                  <v:imagedata r:id="rId79" o:title=""/>
                </v:shape>
                <o:OLEObject Type="Embed" ProgID="Equation.3" ShapeID="_x0000_i1069" DrawAspect="Content" ObjectID="_1739880054"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21pt" o:ole="">
            <v:imagedata r:id="rId43" o:title=""/>
          </v:shape>
          <o:OLEObject Type="Embed" ProgID="Equation.3" ShapeID="_x0000_i1070" DrawAspect="Content" ObjectID="_1739880055"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3.5pt;height:15.75pt" o:ole="">
            <v:imagedata r:id="rId53" o:title=""/>
          </v:shape>
          <o:OLEObject Type="Embed" ProgID="Equation.3" ShapeID="_x0000_i1071" DrawAspect="Content" ObjectID="_1739880056"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F207E5" w:rsidRDefault="000D4814" w:rsidP="00F207E5">
      <w:pPr>
        <w:pStyle w:val="11"/>
        <w:tabs>
          <w:tab w:val="left" w:pos="993"/>
        </w:tabs>
        <w:ind w:left="0"/>
        <w:jc w:val="both"/>
        <w:rPr>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r w:rsidR="00F207E5" w:rsidRPr="008511A4">
        <w:rPr>
          <w:szCs w:val="24"/>
        </w:rPr>
        <w:t xml:space="preserve">Стоимость имущества, переданного в оплату инвестиционных паев ПИФ, определяется по состоянию </w:t>
      </w:r>
      <w:r w:rsidR="00D652B9">
        <w:rPr>
          <w:szCs w:val="24"/>
        </w:rPr>
        <w:t>на 23:59:59 часов московского времени</w:t>
      </w:r>
      <w:r w:rsidR="00D652B9">
        <w:rPr>
          <w:szCs w:val="24"/>
        </w:rPr>
        <w:t xml:space="preserve"> </w:t>
      </w:r>
      <w:bookmarkStart w:id="13" w:name="_GoBack"/>
      <w:bookmarkEnd w:id="13"/>
      <w:r w:rsidR="00F207E5" w:rsidRPr="008511A4">
        <w:rPr>
          <w:szCs w:val="24"/>
        </w:rPr>
        <w:t xml:space="preserve">на дату передачи имущества в оплату инвестиционных паев </w:t>
      </w:r>
      <w:r w:rsidR="00F207E5">
        <w:rPr>
          <w:szCs w:val="24"/>
        </w:rPr>
        <w:t>Фонда.</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w:t>
            </w:r>
            <w:r w:rsidRPr="006D7089">
              <w:rPr>
                <w:bCs/>
                <w:sz w:val="22"/>
                <w:szCs w:val="22"/>
              </w:rPr>
              <w:lastRenderedPageBreak/>
              <w:t>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lastRenderedPageBreak/>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Дата перехода права собственности на ценные </w:t>
            </w:r>
            <w:r w:rsidRPr="00073D96">
              <w:rPr>
                <w:bCs/>
                <w:szCs w:val="24"/>
              </w:rPr>
              <w:lastRenderedPageBreak/>
              <w:t>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t xml:space="preserve">Основным рынком для иностранных ценных бумаг (за исключением облигаций внешних облигационных займов Российской Федерации, долговых ценных бумаг </w:t>
      </w:r>
      <w:r w:rsidRPr="00B602F2">
        <w:rPr>
          <w:rFonts w:eastAsia="Batang"/>
          <w:b/>
          <w:color w:val="000000"/>
          <w:szCs w:val="24"/>
        </w:rPr>
        <w:lastRenderedPageBreak/>
        <w:t>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D652B9"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D652B9"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D652B9"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D652B9"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652B9"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D652B9"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652B9"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D652B9"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xml:space="preserve">,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w:t>
      </w:r>
      <w:r w:rsidR="001604EB" w:rsidRPr="00207827">
        <w:rPr>
          <w:rFonts w:eastAsia="Calibri"/>
          <w:szCs w:val="24"/>
          <w:lang w:eastAsia="en-US"/>
        </w:rPr>
        <w:lastRenderedPageBreak/>
        <w:t>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lastRenderedPageBreak/>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D652B9"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D652B9"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D652B9"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FF05125" wp14:editId="1165A3E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39880057"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lastRenderedPageBreak/>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D652B9"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52"/>
        <w:gridCol w:w="1865"/>
        <w:gridCol w:w="1811"/>
        <w:gridCol w:w="1818"/>
        <w:gridCol w:w="1941"/>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lastRenderedPageBreak/>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lastRenderedPageBreak/>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D652B9"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D652B9"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w:t>
      </w:r>
      <w:r w:rsidRPr="00C02C98">
        <w:rPr>
          <w:rFonts w:eastAsia="Calibri"/>
          <w:szCs w:val="24"/>
        </w:rPr>
        <w:lastRenderedPageBreak/>
        <w:t xml:space="preserve">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D652B9"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lastRenderedPageBreak/>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D652B9"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652B9"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D652B9"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D652B9"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D652B9"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D652B9"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D652B9"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D652B9"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Pr="00C02C98" w:rsidRDefault="00D6688D"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lastRenderedPageBreak/>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264"/>
        <w:gridCol w:w="2761"/>
        <w:gridCol w:w="3262"/>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D652B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52B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D652B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D652B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D652B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D652B9"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201F4" w:rsidRPr="00207827" w:rsidRDefault="00D6688D" w:rsidP="0072342E">
      <w:pPr>
        <w:rPr>
          <w:b/>
          <w:szCs w:val="24"/>
          <w:u w:val="single"/>
        </w:rPr>
      </w:pPr>
      <w:r w:rsidRPr="00C02C98">
        <w:rPr>
          <w:rFonts w:eastAsia="Calibri"/>
          <w:szCs w:val="24"/>
        </w:rPr>
        <w:br w:type="page"/>
      </w:r>
    </w:p>
    <w:p w:rsidR="00E201F4" w:rsidRDefault="001B1FD4" w:rsidP="0072342E">
      <w:pPr>
        <w:rPr>
          <w:b/>
          <w:i/>
          <w:szCs w:val="24"/>
        </w:rPr>
      </w:pPr>
      <w:r w:rsidRPr="007F610B">
        <w:rPr>
          <w:b/>
          <w:i/>
          <w:szCs w:val="24"/>
        </w:rPr>
        <w:lastRenderedPageBreak/>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02540C" w:rsidP="00B11E79">
      <w:pPr>
        <w:spacing w:before="1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r w:rsidR="009B5765">
        <w:t xml:space="preserve"> и др. методы</w:t>
      </w:r>
      <w:r>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02540C" w:rsidP="0072342E">
      <w:pPr>
        <w:ind w:firstLine="426"/>
        <w:jc w:val="both"/>
        <w:rPr>
          <w:szCs w:val="24"/>
        </w:rPr>
      </w:pPr>
      <w:r>
        <w:rPr>
          <w:szCs w:val="24"/>
        </w:rPr>
        <w:t xml:space="preserve">- 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D652B9"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D652B9"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D652B9"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D652B9"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D652B9"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D652B9"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w:lastRenderedPageBreak/>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D652B9"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D652B9"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lastRenderedPageBreak/>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ED16C2" w:rsidRPr="00B602F2" w:rsidRDefault="00ED16C2" w:rsidP="009B5765">
      <w:pPr>
        <w:spacing w:after="120"/>
        <w:ind w:firstLine="426"/>
        <w:jc w:val="both"/>
        <w:rPr>
          <w:szCs w:val="24"/>
        </w:rPr>
      </w:pPr>
    </w:p>
    <w:p w:rsidR="00913107" w:rsidRPr="00207827" w:rsidRDefault="00913107" w:rsidP="0072342E">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lastRenderedPageBreak/>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lastRenderedPageBreak/>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lastRenderedPageBreak/>
        <w:t>R</w:t>
      </w:r>
      <w:r w:rsidRPr="00271C76">
        <w:rPr>
          <w:rFonts w:ascii="Times New Roman" w:hAnsi="Times New Roman"/>
          <w:szCs w:val="20"/>
        </w:rPr>
        <w:t xml:space="preserve"> - искомая номинальная ставка</w:t>
      </w:r>
    </w:p>
    <w:p w:rsidR="00E221CF" w:rsidRPr="006749DA" w:rsidRDefault="00D652B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D652B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D652B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D652B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D652B9"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D652B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D652B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D652B9"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lastRenderedPageBreak/>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lastRenderedPageBreak/>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41215B">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lastRenderedPageBreak/>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w:t>
      </w:r>
      <w:r w:rsidRPr="00B602F2">
        <w:rPr>
          <w:rFonts w:ascii="Times New Roman" w:hAnsi="Times New Roman"/>
          <w:sz w:val="24"/>
          <w:szCs w:val="24"/>
        </w:rPr>
        <w:lastRenderedPageBreak/>
        <w:t xml:space="preserve">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D652B9"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w:lastRenderedPageBreak/>
          <m:t>N</m:t>
        </m:r>
      </m:oMath>
      <w:r w:rsidRPr="006749DA">
        <w:rPr>
          <w:szCs w:val="24"/>
        </w:rPr>
        <w:t xml:space="preserve"> – количество оставшихся на дату оценки денежных потоков по договору,</w:t>
      </w:r>
    </w:p>
    <w:p w:rsidR="00EC149B" w:rsidRPr="006749DA" w:rsidRDefault="00D652B9"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D652B9"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D652B9"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D652B9"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D652B9"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D652B9"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D652B9"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D652B9"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D652B9"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D652B9"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D652B9"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D652B9"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D652B9"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D652B9"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D652B9"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D652B9"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049"/>
        <w:gridCol w:w="1474"/>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20"/>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D652B9"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FA7B44"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FA7B44"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lastRenderedPageBreak/>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lastRenderedPageBreak/>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lastRenderedPageBreak/>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lastRenderedPageBreak/>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Pr="00CC3A0D">
        <w:rPr>
          <w:color w:val="000000"/>
          <w:szCs w:val="22"/>
        </w:rPr>
        <w:lastRenderedPageBreak/>
        <w:t>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lastRenderedPageBreak/>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47B74" w:rsidRDefault="00A47B74" w:rsidP="001C2B7D">
      <w:pPr>
        <w:numPr>
          <w:ilvl w:val="0"/>
          <w:numId w:val="151"/>
        </w:numPr>
        <w:spacing w:after="76"/>
        <w:ind w:right="45" w:hanging="360"/>
        <w:jc w:val="both"/>
        <w:rPr>
          <w:color w:val="000000"/>
          <w:szCs w:val="22"/>
        </w:rPr>
        <w:sectPr w:rsidR="00A47B74" w:rsidSect="00FE530B">
          <w:footerReference w:type="default" r:id="rId98"/>
          <w:pgSz w:w="11906" w:h="16838"/>
          <w:pgMar w:top="851" w:right="1758" w:bottom="1134"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162E21" w:rsidRDefault="00AC6698" w:rsidP="001C2B7D">
      <w:pPr>
        <w:ind w:left="3416"/>
        <w:rPr>
          <w:b/>
          <w:color w:val="000000"/>
          <w:sz w:val="20"/>
        </w:rPr>
      </w:pPr>
      <w:r w:rsidRPr="00162E21">
        <w:rPr>
          <w:b/>
          <w:color w:val="000000"/>
          <w:sz w:val="20"/>
        </w:rPr>
        <w:t xml:space="preserve"> </w:t>
      </w:r>
      <w:r w:rsidR="00D40B41" w:rsidRPr="00162E21">
        <w:rPr>
          <w:b/>
          <w:color w:val="000000"/>
          <w:sz w:val="20"/>
        </w:rPr>
        <w:t>В</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2pt;height:21pt" o:ole="">
            <v:imagedata r:id="rId99" o:title=""/>
          </v:shape>
          <o:OLEObject Type="Embed" ProgID="Equation.3" ShapeID="_x0000_i1073" DrawAspect="Content" ObjectID="_1739880058"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75pt;height:21pt" o:ole="">
            <v:imagedata r:id="rId101" o:title=""/>
          </v:shape>
          <o:OLEObject Type="Embed" ProgID="Equation.3" ShapeID="_x0000_i1074" DrawAspect="Content" ObjectID="_1739880059"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D652B9"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D652B9"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12D" w:rsidRDefault="0016612D" w:rsidP="003830AE">
      <w:r>
        <w:separator/>
      </w:r>
    </w:p>
  </w:endnote>
  <w:endnote w:type="continuationSeparator" w:id="0">
    <w:p w:rsidR="0016612D" w:rsidRDefault="0016612D"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8B" w:rsidRDefault="0027588B">
    <w:pPr>
      <w:pStyle w:val="af4"/>
      <w:jc w:val="right"/>
    </w:pPr>
    <w:r>
      <w:fldChar w:fldCharType="begin"/>
    </w:r>
    <w:r>
      <w:instrText>PAGE   \* MERGEFORMAT</w:instrText>
    </w:r>
    <w:r>
      <w:fldChar w:fldCharType="separate"/>
    </w:r>
    <w:r w:rsidR="00D652B9">
      <w:rPr>
        <w:noProof/>
      </w:rPr>
      <w:t>8</w:t>
    </w:r>
    <w:r>
      <w:fldChar w:fldCharType="end"/>
    </w:r>
  </w:p>
  <w:p w:rsidR="0027588B" w:rsidRDefault="0027588B">
    <w:pPr>
      <w:pStyle w:val="af4"/>
    </w:pPr>
  </w:p>
  <w:p w:rsidR="0027588B" w:rsidRDefault="002758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12D" w:rsidRDefault="0016612D" w:rsidP="003830AE">
      <w:r>
        <w:separator/>
      </w:r>
    </w:p>
  </w:footnote>
  <w:footnote w:type="continuationSeparator" w:id="0">
    <w:p w:rsidR="0016612D" w:rsidRDefault="0016612D" w:rsidP="003830AE">
      <w:r>
        <w:continuationSeparator/>
      </w:r>
    </w:p>
  </w:footnote>
  <w:footnote w:id="1">
    <w:p w:rsidR="0027588B" w:rsidRDefault="0027588B" w:rsidP="00D6688D">
      <w:pPr>
        <w:pStyle w:val="ad"/>
        <w:jc w:val="both"/>
      </w:pPr>
      <w:r>
        <w:rPr>
          <w:rStyle w:val="af"/>
        </w:rPr>
        <w:footnoteRef/>
      </w:r>
      <w:r>
        <w:t xml:space="preserve"> </w:t>
      </w:r>
      <w:r w:rsidRPr="002F255B">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27588B" w:rsidRDefault="0027588B" w:rsidP="00D6688D">
      <w:pPr>
        <w:pStyle w:val="ad"/>
        <w:jc w:val="both"/>
      </w:pPr>
      <w:r>
        <w:rPr>
          <w:rStyle w:val="af"/>
        </w:rPr>
        <w:footnoteRef/>
      </w:r>
      <w:r>
        <w:t xml:space="preserve"> </w:t>
      </w:r>
      <w:r w:rsidRPr="00753A03">
        <w:rPr>
          <w:rFonts w:ascii="Times New Roman" w:hAnsi="Times New Roman"/>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27588B" w:rsidRPr="00753A03" w:rsidRDefault="0027588B" w:rsidP="00D6688D">
      <w:pPr>
        <w:pStyle w:val="ad"/>
        <w:jc w:val="both"/>
        <w:rPr>
          <w:rFonts w:ascii="Times New Roman" w:hAnsi="Times New Roman"/>
        </w:rPr>
      </w:pPr>
      <w:r>
        <w:rPr>
          <w:rStyle w:val="af"/>
        </w:rPr>
        <w:footnoteRef/>
      </w:r>
      <w:r>
        <w:t xml:space="preserve"> </w:t>
      </w:r>
      <w:r w:rsidRPr="00753A03">
        <w:rPr>
          <w:rFonts w:ascii="Times New Roman" w:hAnsi="Times New Roman"/>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27588B" w:rsidRDefault="0027588B" w:rsidP="00D6688D">
      <w:pPr>
        <w:pStyle w:val="ad"/>
        <w:jc w:val="both"/>
      </w:pPr>
      <w:r w:rsidRPr="00753A03">
        <w:rPr>
          <w:rFonts w:ascii="Times New Roman" w:hAnsi="Times New Roman"/>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27588B" w:rsidRDefault="0027588B" w:rsidP="00AF1D7D">
      <w:pPr>
        <w:pStyle w:val="ad"/>
      </w:pPr>
      <w:r>
        <w:rPr>
          <w:rStyle w:val="af"/>
        </w:rPr>
        <w:footnoteRef/>
      </w:r>
      <w:r>
        <w:t xml:space="preserve"> </w:t>
      </w:r>
      <w:hyperlink r:id="rId1" w:history="1">
        <w:r w:rsidRPr="00A83345">
          <w:rPr>
            <w:rStyle w:val="a7"/>
          </w:rPr>
          <w:t>https://home.treasury.gov/resource-center/data-chart-center/interest-rates/TextView?type=daily_treasury_yield_curve&amp;field_tdr_date_value_month=202211</w:t>
        </w:r>
      </w:hyperlink>
    </w:p>
    <w:p w:rsidR="0027588B" w:rsidRDefault="0027588B" w:rsidP="00AF1D7D">
      <w:pPr>
        <w:pStyle w:val="ad"/>
      </w:pPr>
    </w:p>
  </w:footnote>
  <w:footnote w:id="5">
    <w:p w:rsidR="0027588B" w:rsidRPr="00386F1D" w:rsidRDefault="0027588B" w:rsidP="00AF1D7D">
      <w:pPr>
        <w:pStyle w:val="ad"/>
      </w:pPr>
      <w:r>
        <w:rPr>
          <w:rStyle w:val="af"/>
        </w:rPr>
        <w:footnoteRef/>
      </w:r>
      <w:r>
        <w:t xml:space="preserve"> </w:t>
      </w:r>
      <w:hyperlink r:id="rId2" w:history="1">
        <w:r w:rsidRPr="00A83345">
          <w:rPr>
            <w:rStyle w:val="a7"/>
          </w:rPr>
          <w:t>https://www.ecb.europa.eu/stats/financial_markets_and_interest_rates/euro_area_yield_curves/html/index.en.html</w:t>
        </w:r>
      </w:hyperlink>
      <w:r>
        <w:rPr>
          <w:rStyle w:val="a7"/>
        </w:rPr>
        <w:t xml:space="preserve"> Используются значения параметра </w:t>
      </w:r>
      <w:r>
        <w:rPr>
          <w:rStyle w:val="a7"/>
          <w:lang w:val="en-US"/>
        </w:rPr>
        <w:t>Spot</w:t>
      </w:r>
      <w:r w:rsidRPr="005C739F">
        <w:rPr>
          <w:rStyle w:val="a7"/>
        </w:rPr>
        <w:t xml:space="preserve"> </w:t>
      </w:r>
      <w:r>
        <w:rPr>
          <w:rStyle w:val="a7"/>
          <w:lang w:val="en-US"/>
        </w:rPr>
        <w:t>Rate</w:t>
      </w:r>
      <w:r w:rsidRPr="005C739F">
        <w:rPr>
          <w:rStyle w:val="a7"/>
        </w:rPr>
        <w:t xml:space="preserve"> </w:t>
      </w:r>
      <w:r>
        <w:rPr>
          <w:rStyle w:val="a7"/>
        </w:rPr>
        <w:t>для всех доступных облигаций (</w:t>
      </w:r>
      <w:r>
        <w:rPr>
          <w:rStyle w:val="a7"/>
          <w:lang w:val="en-US"/>
        </w:rPr>
        <w:t>all</w:t>
      </w:r>
      <w:r w:rsidRPr="005C739F">
        <w:rPr>
          <w:rStyle w:val="a7"/>
        </w:rPr>
        <w:t xml:space="preserve"> </w:t>
      </w:r>
      <w:r>
        <w:rPr>
          <w:rStyle w:val="a7"/>
          <w:lang w:val="en-US"/>
        </w:rPr>
        <w:t>bonds</w:t>
      </w:r>
      <w:r w:rsidRPr="005C739F">
        <w:rPr>
          <w:rStyle w:val="a7"/>
        </w:rPr>
        <w:t>).</w:t>
      </w:r>
    </w:p>
  </w:footnote>
  <w:footnote w:id="6">
    <w:p w:rsidR="0027588B" w:rsidRDefault="0027588B" w:rsidP="00AF1D7D">
      <w:pPr>
        <w:pStyle w:val="ad"/>
      </w:pPr>
      <w:r>
        <w:rPr>
          <w:rStyle w:val="af"/>
        </w:rPr>
        <w:footnoteRef/>
      </w:r>
      <w:r>
        <w:t xml:space="preserve"> </w:t>
      </w:r>
      <w:r w:rsidRPr="00C52EFE">
        <w:rPr>
          <w:rFonts w:ascii="Times New Roman" w:hAnsi="Times New Roman"/>
        </w:rPr>
        <w:t>Под датой оферты (Put-оферта)</w:t>
      </w:r>
      <w:r>
        <w:rPr>
          <w:rFonts w:ascii="Times New Roman" w:hAnsi="Times New Roman"/>
        </w:rPr>
        <w:t xml:space="preserve"> понимается</w:t>
      </w:r>
      <w:r w:rsidRPr="00C52EFE">
        <w:rPr>
          <w:rFonts w:ascii="Times New Roman" w:hAnsi="Times New Roman"/>
        </w:rPr>
        <w:t xml:space="preserve"> </w:t>
      </w:r>
      <w:r>
        <w:rPr>
          <w:rFonts w:ascii="Times New Roman" w:hAnsi="Times New Roman"/>
        </w:rPr>
        <w:t>дата наступления события оферта</w:t>
      </w:r>
      <w:r w:rsidRPr="00C52EFE">
        <w:rPr>
          <w:rFonts w:ascii="Times New Roman" w:hAnsi="Times New Roman"/>
        </w:rPr>
        <w:t>, определенная условиями выпуска</w:t>
      </w:r>
      <w:r>
        <w:rPr>
          <w:rFonts w:ascii="Times New Roman" w:hAnsi="Times New Roman"/>
        </w:rPr>
        <w:t>.</w:t>
      </w:r>
    </w:p>
  </w:footnote>
  <w:footnote w:id="7">
    <w:p w:rsidR="0027588B" w:rsidRDefault="0027588B"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27588B" w:rsidRDefault="0027588B">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27588B" w:rsidRPr="00934212" w:rsidRDefault="0027588B"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27588B" w:rsidRDefault="0027588B"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27588B" w:rsidRPr="00934212" w:rsidRDefault="0027588B"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27588B" w:rsidRDefault="0027588B"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27588B" w:rsidRPr="00BE449B" w:rsidRDefault="0027588B"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27588B" w:rsidRPr="00FC2DDA" w:rsidRDefault="0027588B"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27588B" w:rsidRPr="00FD4F9A" w:rsidRDefault="0027588B"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27588B" w:rsidRPr="00404E0B" w:rsidRDefault="0027588B"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27588B" w:rsidRPr="00404E0B" w:rsidRDefault="0027588B"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27588B" w:rsidRPr="00E2653F" w:rsidRDefault="0027588B"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27588B" w:rsidRPr="000C2205" w:rsidRDefault="0027588B" w:rsidP="00D40B41">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sidR="00D40B41">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27588B" w:rsidRDefault="0027588B"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27588B" w:rsidRDefault="0027588B"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27588B" w:rsidRPr="00BB1F30" w:rsidRDefault="0027588B"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21">
    <w:p w:rsidR="0027588B" w:rsidRPr="00EB4F7B" w:rsidRDefault="0027588B"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27588B" w:rsidRPr="001E2425" w:rsidRDefault="0027588B"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27588B" w:rsidRPr="001E2425" w:rsidRDefault="0027588B"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27588B" w:rsidRDefault="0027588B" w:rsidP="007D0736">
      <w:pPr>
        <w:pStyle w:val="footnotedescription"/>
      </w:pPr>
      <w:r>
        <w:rPr>
          <w:rStyle w:val="footnotemark"/>
        </w:rPr>
        <w:footnoteRef/>
      </w:r>
      <w:r>
        <w:t xml:space="preserve"> Например, гостиницы, хостелы и т.п. </w:t>
      </w:r>
    </w:p>
  </w:footnote>
  <w:footnote w:id="24">
    <w:p w:rsidR="0027588B" w:rsidRPr="00B14325" w:rsidRDefault="0027588B"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27588B" w:rsidRPr="00FE471A" w:rsidRDefault="0027588B"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6674E98E"/>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4"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7"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0"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7"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0"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3"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5"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7"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0"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3"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9"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7"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2"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3"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5"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6"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4"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7"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5"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8"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0"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4"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8"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2"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3"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5"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8"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0"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2"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6"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0"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1"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2"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6"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8"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4"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5"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7"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8"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9"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0"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1"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6"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7"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2"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5"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7"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9"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4"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9"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0"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1"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156"/>
  </w:num>
  <w:num w:numId="3">
    <w:abstractNumId w:val="183"/>
  </w:num>
  <w:num w:numId="4">
    <w:abstractNumId w:val="4"/>
  </w:num>
  <w:num w:numId="5">
    <w:abstractNumId w:val="117"/>
  </w:num>
  <w:num w:numId="6">
    <w:abstractNumId w:val="160"/>
  </w:num>
  <w:num w:numId="7">
    <w:abstractNumId w:val="32"/>
  </w:num>
  <w:num w:numId="8">
    <w:abstractNumId w:val="208"/>
  </w:num>
  <w:num w:numId="9">
    <w:abstractNumId w:val="12"/>
  </w:num>
  <w:num w:numId="10">
    <w:abstractNumId w:val="141"/>
  </w:num>
  <w:num w:numId="11">
    <w:abstractNumId w:val="9"/>
  </w:num>
  <w:num w:numId="12">
    <w:abstractNumId w:val="17"/>
  </w:num>
  <w:num w:numId="13">
    <w:abstractNumId w:val="43"/>
  </w:num>
  <w:num w:numId="14">
    <w:abstractNumId w:val="64"/>
  </w:num>
  <w:num w:numId="15">
    <w:abstractNumId w:val="71"/>
  </w:num>
  <w:num w:numId="16">
    <w:abstractNumId w:val="198"/>
  </w:num>
  <w:num w:numId="17">
    <w:abstractNumId w:val="185"/>
  </w:num>
  <w:num w:numId="18">
    <w:abstractNumId w:val="139"/>
  </w:num>
  <w:num w:numId="19">
    <w:abstractNumId w:val="119"/>
  </w:num>
  <w:num w:numId="20">
    <w:abstractNumId w:val="124"/>
  </w:num>
  <w:num w:numId="21">
    <w:abstractNumId w:val="11"/>
  </w:num>
  <w:num w:numId="22">
    <w:abstractNumId w:val="1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3"/>
  </w:num>
  <w:num w:numId="25">
    <w:abstractNumId w:val="201"/>
  </w:num>
  <w:num w:numId="26">
    <w:abstractNumId w:val="161"/>
  </w:num>
  <w:num w:numId="27">
    <w:abstractNumId w:val="104"/>
  </w:num>
  <w:num w:numId="28">
    <w:abstractNumId w:val="81"/>
  </w:num>
  <w:num w:numId="29">
    <w:abstractNumId w:val="89"/>
  </w:num>
  <w:num w:numId="30">
    <w:abstractNumId w:val="146"/>
  </w:num>
  <w:num w:numId="31">
    <w:abstractNumId w:val="38"/>
  </w:num>
  <w:num w:numId="32">
    <w:abstractNumId w:val="5"/>
  </w:num>
  <w:num w:numId="33">
    <w:abstractNumId w:val="10"/>
  </w:num>
  <w:num w:numId="34">
    <w:abstractNumId w:val="187"/>
  </w:num>
  <w:num w:numId="35">
    <w:abstractNumId w:val="47"/>
  </w:num>
  <w:num w:numId="36">
    <w:abstractNumId w:val="115"/>
  </w:num>
  <w:num w:numId="37">
    <w:abstractNumId w:val="175"/>
  </w:num>
  <w:num w:numId="38">
    <w:abstractNumId w:val="123"/>
  </w:num>
  <w:num w:numId="39">
    <w:abstractNumId w:val="191"/>
  </w:num>
  <w:num w:numId="40">
    <w:abstractNumId w:val="85"/>
  </w:num>
  <w:num w:numId="41">
    <w:abstractNumId w:val="70"/>
  </w:num>
  <w:num w:numId="42">
    <w:abstractNumId w:val="24"/>
  </w:num>
  <w:num w:numId="43">
    <w:abstractNumId w:val="75"/>
  </w:num>
  <w:num w:numId="44">
    <w:abstractNumId w:val="103"/>
  </w:num>
  <w:num w:numId="45">
    <w:abstractNumId w:val="19"/>
  </w:num>
  <w:num w:numId="46">
    <w:abstractNumId w:val="62"/>
  </w:num>
  <w:num w:numId="47">
    <w:abstractNumId w:val="62"/>
    <w:lvlOverride w:ilvl="0">
      <w:startOverride w:val="1"/>
    </w:lvlOverride>
  </w:num>
  <w:num w:numId="48">
    <w:abstractNumId w:val="52"/>
  </w:num>
  <w:num w:numId="49">
    <w:abstractNumId w:val="121"/>
  </w:num>
  <w:num w:numId="50">
    <w:abstractNumId w:val="1"/>
  </w:num>
  <w:num w:numId="51">
    <w:abstractNumId w:val="58"/>
  </w:num>
  <w:num w:numId="52">
    <w:abstractNumId w:val="20"/>
  </w:num>
  <w:num w:numId="53">
    <w:abstractNumId w:val="65"/>
  </w:num>
  <w:num w:numId="54">
    <w:abstractNumId w:val="184"/>
  </w:num>
  <w:num w:numId="55">
    <w:abstractNumId w:val="107"/>
  </w:num>
  <w:num w:numId="56">
    <w:abstractNumId w:val="26"/>
  </w:num>
  <w:num w:numId="57">
    <w:abstractNumId w:val="170"/>
  </w:num>
  <w:num w:numId="58">
    <w:abstractNumId w:val="13"/>
  </w:num>
  <w:num w:numId="59">
    <w:abstractNumId w:val="64"/>
  </w:num>
  <w:num w:numId="60">
    <w:abstractNumId w:val="59"/>
  </w:num>
  <w:num w:numId="61">
    <w:abstractNumId w:val="101"/>
  </w:num>
  <w:num w:numId="62">
    <w:abstractNumId w:val="110"/>
  </w:num>
  <w:num w:numId="63">
    <w:abstractNumId w:val="97"/>
  </w:num>
  <w:num w:numId="64">
    <w:abstractNumId w:val="153"/>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7"/>
  </w:num>
  <w:num w:numId="68">
    <w:abstractNumId w:val="25"/>
  </w:num>
  <w:num w:numId="69">
    <w:abstractNumId w:val="193"/>
  </w:num>
  <w:num w:numId="70">
    <w:abstractNumId w:val="42"/>
  </w:num>
  <w:num w:numId="71">
    <w:abstractNumId w:val="154"/>
  </w:num>
  <w:num w:numId="72">
    <w:abstractNumId w:val="113"/>
  </w:num>
  <w:num w:numId="73">
    <w:abstractNumId w:val="16"/>
  </w:num>
  <w:num w:numId="74">
    <w:abstractNumId w:val="111"/>
  </w:num>
  <w:num w:numId="75">
    <w:abstractNumId w:val="136"/>
  </w:num>
  <w:num w:numId="76">
    <w:abstractNumId w:val="36"/>
  </w:num>
  <w:num w:numId="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num>
  <w:num w:numId="79">
    <w:abstractNumId w:val="211"/>
  </w:num>
  <w:num w:numId="80">
    <w:abstractNumId w:val="171"/>
  </w:num>
  <w:num w:numId="81">
    <w:abstractNumId w:val="203"/>
  </w:num>
  <w:num w:numId="82">
    <w:abstractNumId w:val="46"/>
  </w:num>
  <w:num w:numId="83">
    <w:abstractNumId w:val="67"/>
  </w:num>
  <w:num w:numId="84">
    <w:abstractNumId w:val="93"/>
  </w:num>
  <w:num w:numId="85">
    <w:abstractNumId w:val="125"/>
  </w:num>
  <w:num w:numId="86">
    <w:abstractNumId w:val="0"/>
  </w:num>
  <w:num w:numId="87">
    <w:abstractNumId w:val="30"/>
  </w:num>
  <w:num w:numId="88">
    <w:abstractNumId w:val="133"/>
  </w:num>
  <w:num w:numId="89">
    <w:abstractNumId w:val="45"/>
  </w:num>
  <w:num w:numId="90">
    <w:abstractNumId w:val="49"/>
  </w:num>
  <w:num w:numId="91">
    <w:abstractNumId w:val="35"/>
  </w:num>
  <w:num w:numId="92">
    <w:abstractNumId w:val="33"/>
  </w:num>
  <w:num w:numId="93">
    <w:abstractNumId w:val="66"/>
  </w:num>
  <w:num w:numId="9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num>
  <w:num w:numId="96">
    <w:abstractNumId w:val="180"/>
  </w:num>
  <w:num w:numId="97">
    <w:abstractNumId w:val="112"/>
  </w:num>
  <w:num w:numId="98">
    <w:abstractNumId w:val="179"/>
  </w:num>
  <w:num w:numId="99">
    <w:abstractNumId w:val="205"/>
  </w:num>
  <w:num w:numId="100">
    <w:abstractNumId w:val="189"/>
  </w:num>
  <w:num w:numId="101">
    <w:abstractNumId w:val="144"/>
  </w:num>
  <w:num w:numId="102">
    <w:abstractNumId w:val="145"/>
  </w:num>
  <w:num w:numId="103">
    <w:abstractNumId w:val="151"/>
  </w:num>
  <w:num w:numId="104">
    <w:abstractNumId w:val="190"/>
  </w:num>
  <w:num w:numId="105">
    <w:abstractNumId w:val="96"/>
  </w:num>
  <w:num w:numId="106">
    <w:abstractNumId w:val="122"/>
  </w:num>
  <w:num w:numId="1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37"/>
  </w:num>
  <w:num w:numId="110">
    <w:abstractNumId w:val="54"/>
  </w:num>
  <w:num w:numId="111">
    <w:abstractNumId w:val="150"/>
  </w:num>
  <w:num w:numId="112">
    <w:abstractNumId w:val="169"/>
  </w:num>
  <w:num w:numId="113">
    <w:abstractNumId w:val="162"/>
  </w:num>
  <w:num w:numId="114">
    <w:abstractNumId w:val="41"/>
  </w:num>
  <w:num w:numId="115">
    <w:abstractNumId w:val="100"/>
  </w:num>
  <w:num w:numId="116">
    <w:abstractNumId w:val="18"/>
  </w:num>
  <w:num w:numId="117">
    <w:abstractNumId w:val="131"/>
  </w:num>
  <w:num w:numId="118">
    <w:abstractNumId w:val="8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0"/>
  </w:num>
  <w:num w:numId="121">
    <w:abstractNumId w:val="91"/>
  </w:num>
  <w:num w:numId="122">
    <w:abstractNumId w:val="194"/>
  </w:num>
  <w:num w:numId="123">
    <w:abstractNumId w:val="78"/>
  </w:num>
  <w:num w:numId="124">
    <w:abstractNumId w:val="204"/>
  </w:num>
  <w:num w:numId="125">
    <w:abstractNumId w:val="120"/>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9"/>
  </w:num>
  <w:num w:numId="128">
    <w:abstractNumId w:val="149"/>
  </w:num>
  <w:num w:numId="1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9"/>
  </w:num>
  <w:num w:numId="134">
    <w:abstractNumId w:val="19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6"/>
  </w:num>
  <w:num w:numId="136">
    <w:abstractNumId w:val="16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num>
  <w:num w:numId="138">
    <w:abstractNumId w:val="73"/>
  </w:num>
  <w:num w:numId="139">
    <w:abstractNumId w:val="202"/>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num>
  <w:num w:numId="142">
    <w:abstractNumId w:val="114"/>
  </w:num>
  <w:num w:numId="143">
    <w:abstractNumId w:val="92"/>
  </w:num>
  <w:num w:numId="144">
    <w:abstractNumId w:val="39"/>
  </w:num>
  <w:num w:numId="145">
    <w:abstractNumId w:val="209"/>
  </w:num>
  <w:num w:numId="146">
    <w:abstractNumId w:val="158"/>
  </w:num>
  <w:num w:numId="147">
    <w:abstractNumId w:val="138"/>
  </w:num>
  <w:num w:numId="148">
    <w:abstractNumId w:val="77"/>
  </w:num>
  <w:num w:numId="149">
    <w:abstractNumId w:val="44"/>
  </w:num>
  <w:num w:numId="150">
    <w:abstractNumId w:val="176"/>
  </w:num>
  <w:num w:numId="151">
    <w:abstractNumId w:val="74"/>
  </w:num>
  <w:num w:numId="152">
    <w:abstractNumId w:val="50"/>
  </w:num>
  <w:num w:numId="153">
    <w:abstractNumId w:val="99"/>
  </w:num>
  <w:num w:numId="154">
    <w:abstractNumId w:val="3"/>
  </w:num>
  <w:num w:numId="155">
    <w:abstractNumId w:val="40"/>
  </w:num>
  <w:num w:numId="156">
    <w:abstractNumId w:val="57"/>
  </w:num>
  <w:num w:numId="157">
    <w:abstractNumId w:val="188"/>
  </w:num>
  <w:num w:numId="158">
    <w:abstractNumId w:val="105"/>
  </w:num>
  <w:num w:numId="159">
    <w:abstractNumId w:val="172"/>
  </w:num>
  <w:num w:numId="160">
    <w:abstractNumId w:val="192"/>
  </w:num>
  <w:num w:numId="161">
    <w:abstractNumId w:val="178"/>
  </w:num>
  <w:num w:numId="162">
    <w:abstractNumId w:val="95"/>
  </w:num>
  <w:num w:numId="163">
    <w:abstractNumId w:val="186"/>
  </w:num>
  <w:num w:numId="164">
    <w:abstractNumId w:val="72"/>
  </w:num>
  <w:num w:numId="165">
    <w:abstractNumId w:val="210"/>
  </w:num>
  <w:num w:numId="166">
    <w:abstractNumId w:val="69"/>
  </w:num>
  <w:num w:numId="167">
    <w:abstractNumId w:val="135"/>
  </w:num>
  <w:num w:numId="168">
    <w:abstractNumId w:val="197"/>
  </w:num>
  <w:num w:numId="169">
    <w:abstractNumId w:val="116"/>
  </w:num>
  <w:num w:numId="170">
    <w:abstractNumId w:val="56"/>
  </w:num>
  <w:num w:numId="171">
    <w:abstractNumId w:val="106"/>
  </w:num>
  <w:num w:numId="172">
    <w:abstractNumId w:val="106"/>
  </w:num>
  <w:num w:numId="173">
    <w:abstractNumId w:val="207"/>
  </w:num>
  <w:num w:numId="174">
    <w:abstractNumId w:val="106"/>
  </w:num>
  <w:num w:numId="175">
    <w:abstractNumId w:val="90"/>
  </w:num>
  <w:num w:numId="176">
    <w:abstractNumId w:val="128"/>
  </w:num>
  <w:num w:numId="177">
    <w:abstractNumId w:val="2"/>
  </w:num>
  <w:num w:numId="178">
    <w:abstractNumId w:val="152"/>
  </w:num>
  <w:num w:numId="179">
    <w:abstractNumId w:val="152"/>
  </w:num>
  <w:num w:numId="180">
    <w:abstractNumId w:val="106"/>
  </w:num>
  <w:num w:numId="181">
    <w:abstractNumId w:val="156"/>
  </w:num>
  <w:num w:numId="182">
    <w:abstractNumId w:val="159"/>
  </w:num>
  <w:num w:numId="183">
    <w:abstractNumId w:val="206"/>
  </w:num>
  <w:num w:numId="184">
    <w:abstractNumId w:val="109"/>
  </w:num>
  <w:num w:numId="185">
    <w:abstractNumId w:val="98"/>
  </w:num>
  <w:num w:numId="186">
    <w:abstractNumId w:val="82"/>
  </w:num>
  <w:num w:numId="187">
    <w:abstractNumId w:val="106"/>
  </w:num>
  <w:num w:numId="188">
    <w:abstractNumId w:val="106"/>
  </w:num>
  <w:num w:numId="189">
    <w:abstractNumId w:val="106"/>
  </w:num>
  <w:num w:numId="190">
    <w:abstractNumId w:val="106"/>
  </w:num>
  <w:num w:numId="191">
    <w:abstractNumId w:val="106"/>
  </w:num>
  <w:num w:numId="192">
    <w:abstractNumId w:val="106"/>
  </w:num>
  <w:num w:numId="193">
    <w:abstractNumId w:val="106"/>
  </w:num>
  <w:num w:numId="194">
    <w:abstractNumId w:val="156"/>
  </w:num>
  <w:num w:numId="195">
    <w:abstractNumId w:val="156"/>
  </w:num>
  <w:num w:numId="196">
    <w:abstractNumId w:val="129"/>
  </w:num>
  <w:num w:numId="197">
    <w:abstractNumId w:val="86"/>
  </w:num>
  <w:num w:numId="198">
    <w:abstractNumId w:val="164"/>
  </w:num>
  <w:num w:numId="199">
    <w:abstractNumId w:val="181"/>
  </w:num>
  <w:num w:numId="2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1"/>
  </w:num>
  <w:num w:numId="204">
    <w:abstractNumId w:val="63"/>
  </w:num>
  <w:num w:numId="205">
    <w:abstractNumId w:val="174"/>
  </w:num>
  <w:num w:numId="206">
    <w:abstractNumId w:val="60"/>
  </w:num>
  <w:num w:numId="207">
    <w:abstractNumId w:val="148"/>
  </w:num>
  <w:num w:numId="208">
    <w:abstractNumId w:val="196"/>
  </w:num>
  <w:num w:numId="209">
    <w:abstractNumId w:val="68"/>
  </w:num>
  <w:num w:numId="210">
    <w:abstractNumId w:val="165"/>
  </w:num>
  <w:num w:numId="211">
    <w:abstractNumId w:val="94"/>
  </w:num>
  <w:num w:numId="212">
    <w:abstractNumId w:val="156"/>
  </w:num>
  <w:num w:numId="213">
    <w:abstractNumId w:val="31"/>
  </w:num>
  <w:num w:numId="214">
    <w:abstractNumId w:val="21"/>
  </w:num>
  <w:num w:numId="215">
    <w:abstractNumId w:val="61"/>
  </w:num>
  <w:num w:numId="216">
    <w:abstractNumId w:val="200"/>
  </w:num>
  <w:num w:numId="217">
    <w:abstractNumId w:val="147"/>
  </w:num>
  <w:num w:numId="218">
    <w:abstractNumId w:val="7"/>
  </w:num>
  <w:num w:numId="219">
    <w:abstractNumId w:val="6"/>
  </w:num>
  <w:num w:numId="220">
    <w:abstractNumId w:val="22"/>
  </w:num>
  <w:num w:numId="221">
    <w:abstractNumId w:val="173"/>
  </w:num>
  <w:num w:numId="222">
    <w:abstractNumId w:val="155"/>
  </w:num>
  <w:num w:numId="223">
    <w:abstractNumId w:val="137"/>
  </w:num>
  <w:num w:numId="224">
    <w:abstractNumId w:val="29"/>
  </w:num>
  <w:num w:numId="225">
    <w:abstractNumId w:val="168"/>
  </w:num>
  <w:num w:numId="226">
    <w:abstractNumId w:val="84"/>
  </w:num>
  <w:num w:numId="227">
    <w:abstractNumId w:val="48"/>
  </w:num>
  <w:num w:numId="228">
    <w:abstractNumId w:val="34"/>
  </w:num>
  <w:num w:numId="229">
    <w:abstractNumId w:val="118"/>
  </w:num>
  <w:num w:numId="230">
    <w:abstractNumId w:val="142"/>
  </w:num>
  <w:num w:numId="231">
    <w:abstractNumId w:val="79"/>
  </w:num>
  <w:num w:numId="232">
    <w:abstractNumId w:val="182"/>
  </w:num>
  <w:num w:numId="233">
    <w:abstractNumId w:val="156"/>
  </w:num>
  <w:num w:numId="234">
    <w:abstractNumId w:val="156"/>
  </w:num>
  <w:num w:numId="235">
    <w:abstractNumId w:val="156"/>
  </w:num>
  <w:num w:numId="236">
    <w:abstractNumId w:val="156"/>
  </w:num>
  <w:num w:numId="237">
    <w:abstractNumId w:val="163"/>
  </w:num>
  <w:num w:numId="238">
    <w:abstractNumId w:val="130"/>
  </w:num>
  <w:num w:numId="239">
    <w:abstractNumId w:val="76"/>
  </w:num>
  <w:num w:numId="240">
    <w:abstractNumId w:val="140"/>
  </w:num>
  <w:num w:numId="241">
    <w:abstractNumId w:val="27"/>
  </w:num>
  <w:num w:numId="242">
    <w:abstractNumId w:val="108"/>
  </w:num>
  <w:num w:numId="243">
    <w:abstractNumId w:val="53"/>
  </w:num>
  <w:num w:numId="244">
    <w:abstractNumId w:val="126"/>
  </w:num>
  <w:num w:numId="245">
    <w:abstractNumId w:val="17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2E21"/>
    <w:rsid w:val="001632DC"/>
    <w:rsid w:val="0016519B"/>
    <w:rsid w:val="0016546F"/>
    <w:rsid w:val="0016600A"/>
    <w:rsid w:val="0016612D"/>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226"/>
    <w:rsid w:val="00204D22"/>
    <w:rsid w:val="00207827"/>
    <w:rsid w:val="002126EA"/>
    <w:rsid w:val="00213492"/>
    <w:rsid w:val="00216978"/>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A78"/>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72BD"/>
    <w:rsid w:val="00407751"/>
    <w:rsid w:val="0041119D"/>
    <w:rsid w:val="0041215B"/>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0327"/>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173"/>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6C47"/>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47B74"/>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34527"/>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0B41"/>
    <w:rsid w:val="00D412EB"/>
    <w:rsid w:val="00D425EE"/>
    <w:rsid w:val="00D44548"/>
    <w:rsid w:val="00D44DB3"/>
    <w:rsid w:val="00D455FD"/>
    <w:rsid w:val="00D5553E"/>
    <w:rsid w:val="00D57BCC"/>
    <w:rsid w:val="00D57F7A"/>
    <w:rsid w:val="00D61A01"/>
    <w:rsid w:val="00D63370"/>
    <w:rsid w:val="00D64665"/>
    <w:rsid w:val="00D64D02"/>
    <w:rsid w:val="00D651B4"/>
    <w:rsid w:val="00D652B9"/>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4B0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07E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459"/>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A7B44"/>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78639582-7711-4A16-84E4-053D1E79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2B99-9119-40BB-A50B-3D4B3BCA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25999</Words>
  <Characters>148198</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173850</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4</cp:revision>
  <cp:lastPrinted>2021-06-09T10:26:00Z</cp:lastPrinted>
  <dcterms:created xsi:type="dcterms:W3CDTF">2023-03-09T06:15:00Z</dcterms:created>
  <dcterms:modified xsi:type="dcterms:W3CDTF">2023-03-09T12:13:00Z</dcterms:modified>
</cp:coreProperties>
</file>