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1418F4" w:rsidP="00A30D26">
            <w:pPr>
              <w:framePr w:hSpace="180" w:wrap="auto" w:vAnchor="page" w:hAnchor="margin" w:x="358" w:y="905"/>
              <w:ind w:left="257" w:hanging="257"/>
              <w:rPr>
                <w:sz w:val="24"/>
                <w:szCs w:val="24"/>
              </w:rPr>
            </w:pPr>
            <w:r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Генеральный директор</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____________________  /А.А.Зайцева/                    </w:t>
            </w:r>
          </w:p>
          <w:p w:rsidR="00AD7AEA" w:rsidRPr="00207827" w:rsidRDefault="00AD7AEA" w:rsidP="00207827">
            <w:pPr>
              <w:framePr w:hSpace="180" w:wrap="auto" w:vAnchor="page" w:hAnchor="margin" w:x="358" w:y="905"/>
              <w:rPr>
                <w:sz w:val="24"/>
                <w:szCs w:val="24"/>
              </w:rPr>
            </w:pPr>
          </w:p>
          <w:p w:rsidR="00AD7AEA" w:rsidRPr="00207827" w:rsidRDefault="009F3E47" w:rsidP="00510CC1">
            <w:pPr>
              <w:framePr w:hSpace="180" w:wrap="auto" w:vAnchor="page" w:hAnchor="margin" w:x="358" w:y="905"/>
              <w:rPr>
                <w:sz w:val="28"/>
                <w:szCs w:val="28"/>
              </w:rPr>
            </w:pPr>
            <w:r w:rsidRPr="00207827">
              <w:rPr>
                <w:sz w:val="24"/>
                <w:szCs w:val="24"/>
              </w:rPr>
              <w:t xml:space="preserve">« </w:t>
            </w:r>
            <w:r w:rsidR="006D7089" w:rsidRPr="006D7089">
              <w:rPr>
                <w:sz w:val="24"/>
                <w:szCs w:val="24"/>
              </w:rPr>
              <w:t>1</w:t>
            </w:r>
            <w:r w:rsidR="00DE1FA6">
              <w:rPr>
                <w:sz w:val="24"/>
                <w:szCs w:val="24"/>
              </w:rPr>
              <w:t>8</w:t>
            </w:r>
            <w:r w:rsidR="00AD7AEA" w:rsidRPr="00207827">
              <w:rPr>
                <w:sz w:val="24"/>
                <w:szCs w:val="24"/>
              </w:rPr>
              <w:t>»</w:t>
            </w:r>
            <w:r w:rsidR="006D7089" w:rsidRPr="006D7089">
              <w:rPr>
                <w:sz w:val="24"/>
                <w:szCs w:val="24"/>
              </w:rPr>
              <w:t xml:space="preserve"> </w:t>
            </w:r>
            <w:r w:rsidR="006D7089">
              <w:rPr>
                <w:sz w:val="24"/>
                <w:szCs w:val="24"/>
              </w:rPr>
              <w:t xml:space="preserve"> </w:t>
            </w:r>
            <w:r w:rsidR="00510CC1">
              <w:rPr>
                <w:sz w:val="24"/>
                <w:szCs w:val="24"/>
              </w:rPr>
              <w:t xml:space="preserve">апреля </w:t>
            </w:r>
            <w:r w:rsidR="006D7089">
              <w:rPr>
                <w:sz w:val="24"/>
                <w:szCs w:val="24"/>
              </w:rPr>
              <w:t xml:space="preserve"> </w:t>
            </w:r>
            <w:r w:rsidR="004126B2" w:rsidRPr="00207827">
              <w:rPr>
                <w:sz w:val="24"/>
                <w:szCs w:val="24"/>
              </w:rPr>
              <w:t xml:space="preserve"> </w:t>
            </w:r>
            <w:r w:rsidR="008E1CA2" w:rsidRPr="00207827">
              <w:rPr>
                <w:sz w:val="24"/>
                <w:szCs w:val="24"/>
              </w:rPr>
              <w:t>201</w:t>
            </w:r>
            <w:r w:rsidR="006D7089">
              <w:rPr>
                <w:sz w:val="24"/>
                <w:szCs w:val="24"/>
              </w:rPr>
              <w:t>9</w:t>
            </w:r>
            <w:r w:rsidR="008E1CA2" w:rsidRPr="00207827">
              <w:rPr>
                <w:sz w:val="24"/>
                <w:szCs w:val="24"/>
              </w:rPr>
              <w:t xml:space="preserve"> </w:t>
            </w:r>
            <w:r w:rsidR="00AD7AEA" w:rsidRPr="00207827">
              <w:rPr>
                <w:sz w:val="24"/>
                <w:szCs w:val="24"/>
              </w:rPr>
              <w:t>г.</w:t>
            </w:r>
          </w:p>
        </w:tc>
        <w:tc>
          <w:tcPr>
            <w:tcW w:w="4395" w:type="dxa"/>
          </w:tcPr>
          <w:p w:rsidR="00AD7AEA" w:rsidRPr="00207827" w:rsidRDefault="00AD7AEA" w:rsidP="00207827">
            <w:pPr>
              <w:framePr w:hSpace="180" w:wrap="auto" w:vAnchor="page" w:hAnchor="margin" w:x="358" w:y="905"/>
              <w:rPr>
                <w:sz w:val="24"/>
                <w:szCs w:val="24"/>
              </w:rPr>
            </w:pPr>
            <w:r w:rsidRPr="00207827">
              <w:rPr>
                <w:sz w:val="24"/>
                <w:szCs w:val="24"/>
              </w:rPr>
              <w:t xml:space="preserve">УТВЕРЖДЕНО </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Генеральный директор </w:t>
            </w:r>
          </w:p>
          <w:p w:rsidR="00AD7AEA" w:rsidRPr="00207827" w:rsidRDefault="00867899" w:rsidP="00207827">
            <w:pPr>
              <w:framePr w:hSpace="180" w:wrap="auto" w:vAnchor="page" w:hAnchor="margin" w:x="358" w:y="905"/>
              <w:rPr>
                <w:sz w:val="24"/>
                <w:szCs w:val="24"/>
              </w:rPr>
            </w:pPr>
            <w:r>
              <w:rPr>
                <w:sz w:val="24"/>
                <w:szCs w:val="24"/>
              </w:rPr>
              <w:t>АО «РЕГИОН ЭсМ»</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1B3087" w:rsidRPr="00207827" w:rsidRDefault="001B3087"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 /</w:t>
            </w:r>
            <w:r w:rsidR="00867899">
              <w:rPr>
                <w:sz w:val="24"/>
                <w:szCs w:val="24"/>
              </w:rPr>
              <w:t>Е.А.Зайцева</w:t>
            </w:r>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510CC1">
            <w:pPr>
              <w:framePr w:hSpace="180" w:wrap="auto" w:vAnchor="page" w:hAnchor="margin" w:x="358" w:y="905"/>
              <w:tabs>
                <w:tab w:val="left" w:pos="2722"/>
              </w:tabs>
              <w:rPr>
                <w:sz w:val="24"/>
                <w:szCs w:val="24"/>
              </w:rPr>
            </w:pPr>
            <w:r w:rsidRPr="00207827">
              <w:rPr>
                <w:sz w:val="24"/>
                <w:szCs w:val="24"/>
              </w:rPr>
              <w:t>«</w:t>
            </w:r>
            <w:r w:rsidR="006D7089">
              <w:rPr>
                <w:sz w:val="24"/>
                <w:szCs w:val="24"/>
              </w:rPr>
              <w:t>1</w:t>
            </w:r>
            <w:r w:rsidR="00DE1FA6">
              <w:rPr>
                <w:sz w:val="24"/>
                <w:szCs w:val="24"/>
              </w:rPr>
              <w:t>8</w:t>
            </w:r>
            <w:r w:rsidR="00AF5515" w:rsidRPr="00207827">
              <w:rPr>
                <w:sz w:val="24"/>
                <w:szCs w:val="24"/>
              </w:rPr>
              <w:t xml:space="preserve"> » </w:t>
            </w:r>
            <w:r w:rsidR="00510CC1">
              <w:rPr>
                <w:sz w:val="24"/>
                <w:szCs w:val="24"/>
              </w:rPr>
              <w:t xml:space="preserve">апреля </w:t>
            </w:r>
            <w:r w:rsidR="00510CC1" w:rsidRPr="00207827">
              <w:rPr>
                <w:sz w:val="24"/>
                <w:szCs w:val="24"/>
              </w:rPr>
              <w:t xml:space="preserve"> </w:t>
            </w:r>
            <w:r w:rsidR="008E1CA2" w:rsidRPr="00207827">
              <w:rPr>
                <w:sz w:val="24"/>
                <w:szCs w:val="24"/>
              </w:rPr>
              <w:t>201</w:t>
            </w:r>
            <w:r w:rsidR="006D7089">
              <w:rPr>
                <w:sz w:val="24"/>
                <w:szCs w:val="24"/>
              </w:rPr>
              <w:t>9</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Pr>
          <w:b/>
          <w:bCs/>
          <w:sz w:val="32"/>
          <w:szCs w:val="32"/>
        </w:rPr>
        <w:t>«</w:t>
      </w:r>
      <w:r w:rsidRPr="002F3B43">
        <w:rPr>
          <w:b/>
          <w:bCs/>
          <w:sz w:val="32"/>
          <w:szCs w:val="32"/>
        </w:rPr>
        <w:t>Дивидендные акции и корпоративные</w:t>
      </w:r>
      <w:r w:rsidRPr="006071A2">
        <w:rPr>
          <w:b/>
          <w:sz w:val="24"/>
          <w:szCs w:val="24"/>
        </w:rPr>
        <w:t xml:space="preserve"> </w:t>
      </w:r>
      <w:r w:rsidRPr="002F3B43">
        <w:rPr>
          <w:b/>
          <w:bCs/>
          <w:sz w:val="32"/>
          <w:szCs w:val="32"/>
        </w:rPr>
        <w:t>облигации</w:t>
      </w:r>
      <w:r>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EC5B37" w:rsidRPr="006D7089" w:rsidRDefault="00EC5B37" w:rsidP="00B602F2">
      <w:pPr>
        <w:pStyle w:val="BodyNum"/>
        <w:numPr>
          <w:ilvl w:val="0"/>
          <w:numId w:val="0"/>
        </w:numPr>
        <w:ind w:left="-142"/>
      </w:pP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E67D84">
        <w:rPr>
          <w:rFonts w:ascii="Times New Roman" w:hAnsi="Times New Roman"/>
          <w:sz w:val="24"/>
          <w:szCs w:val="24"/>
        </w:rPr>
        <w:t>«</w:t>
      </w:r>
      <w:r w:rsidR="00E67D84" w:rsidRPr="002F3B43">
        <w:rPr>
          <w:rFonts w:ascii="Times New Roman" w:hAnsi="Times New Roman"/>
          <w:sz w:val="24"/>
          <w:szCs w:val="24"/>
        </w:rPr>
        <w:t>Дивидендные акции и корпоративные облигации</w:t>
      </w:r>
      <w:r w:rsidR="00E67D84">
        <w:rPr>
          <w:rFonts w:ascii="Times New Roman" w:hAnsi="Times New Roman"/>
          <w:sz w:val="24"/>
          <w:szCs w:val="24"/>
        </w:rPr>
        <w:t>»</w:t>
      </w:r>
      <w:r w:rsidR="00E67D84" w:rsidDel="00572145">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381153">
        <w:rPr>
          <w:rFonts w:eastAsia="Calibri"/>
          <w:sz w:val="24"/>
          <w:szCs w:val="24"/>
          <w:lang w:eastAsia="en-US"/>
        </w:rPr>
        <w:t xml:space="preserve">01 </w:t>
      </w:r>
      <w:r w:rsidR="00B83612" w:rsidRPr="00381153">
        <w:rPr>
          <w:rFonts w:eastAsia="Calibri"/>
          <w:sz w:val="24"/>
          <w:szCs w:val="24"/>
          <w:lang w:eastAsia="en-US"/>
        </w:rPr>
        <w:t xml:space="preserve">мая  </w:t>
      </w:r>
      <w:r w:rsidR="0042481A" w:rsidRPr="00381153">
        <w:rPr>
          <w:rFonts w:eastAsia="Calibri"/>
          <w:sz w:val="24"/>
          <w:szCs w:val="24"/>
          <w:lang w:eastAsia="en-US"/>
        </w:rPr>
        <w:t>201</w:t>
      </w:r>
      <w:r w:rsidR="004126B2" w:rsidRPr="00381153">
        <w:rPr>
          <w:rFonts w:eastAsia="Calibri"/>
          <w:sz w:val="24"/>
          <w:szCs w:val="24"/>
          <w:lang w:eastAsia="en-US"/>
        </w:rPr>
        <w:t>9</w:t>
      </w:r>
      <w:r w:rsidR="0042481A" w:rsidRPr="00381153">
        <w:rPr>
          <w:rFonts w:eastAsia="Calibri"/>
          <w:sz w:val="24"/>
          <w:szCs w:val="24"/>
          <w:lang w:eastAsia="en-US"/>
        </w:rPr>
        <w:t>г.</w:t>
      </w:r>
      <w:bookmarkStart w:id="0" w:name="_GoBack"/>
      <w:bookmarkEnd w:id="0"/>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33.2pt" o:ole="">
            <v:imagedata r:id="rId10" o:title=""/>
          </v:shape>
          <o:OLEObject Type="Embed" ProgID="Equation.3" ShapeID="_x0000_i1025" DrawAspect="Content" ObjectID="_1617022073"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pt;height:16.3pt" o:ole="">
            <v:imagedata r:id="rId12" o:title=""/>
          </v:shape>
          <o:OLEObject Type="Embed" ProgID="Equation.3" ShapeID="_x0000_i1026" DrawAspect="Content" ObjectID="_1617022074"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3.15pt;height:13.15pt" o:ole="">
            <v:imagedata r:id="rId14" o:title=""/>
          </v:shape>
          <o:OLEObject Type="Embed" ProgID="Equation.3" ShapeID="_x0000_i1027" DrawAspect="Content" ObjectID="_1617022075"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3.2pt;height:18.15pt" o:ole="">
            <v:imagedata r:id="rId16" o:title=""/>
          </v:shape>
          <o:OLEObject Type="Embed" ProgID="Equation.3" ShapeID="_x0000_i1028" DrawAspect="Content" ObjectID="_1617022076"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3.15pt;height:18.8pt" o:ole="">
            <v:imagedata r:id="rId18" o:title=""/>
          </v:shape>
          <o:OLEObject Type="Embed" ProgID="Equation.3" ShapeID="_x0000_i1029" DrawAspect="Content" ObjectID="_1617022077"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4pt;height:48.2pt" o:ole="">
            <v:imagedata r:id="rId20" o:title=""/>
          </v:shape>
          <o:OLEObject Type="Embed" ProgID="Equation.3" ShapeID="_x0000_i1030" DrawAspect="Content" ObjectID="_1617022078"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8.2pt;height:18.15pt" o:ole="">
            <v:imagedata r:id="rId22" o:title=""/>
          </v:shape>
          <o:OLEObject Type="Embed" ProgID="Equation.3" ShapeID="_x0000_i1031" DrawAspect="Content" ObjectID="_1617022079"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3.8pt;height:18.15pt" o:ole="">
            <v:imagedata r:id="rId24" o:title=""/>
          </v:shape>
          <o:OLEObject Type="Embed" ProgID="Equation.3" ShapeID="_x0000_i1032" DrawAspect="Content" ObjectID="_1617022080"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pt;height:8.75pt" o:ole="">
            <v:imagedata r:id="rId26" o:title=""/>
          </v:shape>
          <o:OLEObject Type="Embed" ProgID="Equation.3" ShapeID="_x0000_i1033" DrawAspect="Content" ObjectID="_1617022081"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65pt;height:21.3pt" o:ole="">
            <v:imagedata r:id="rId28" o:title=""/>
          </v:shape>
          <o:OLEObject Type="Embed" ProgID="Equation.3" ShapeID="_x0000_i1034" DrawAspect="Content" ObjectID="_1617022082"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65pt;height:25.05pt" o:ole="">
            <v:imagedata r:id="rId30" o:title=""/>
          </v:shape>
          <o:OLEObject Type="Embed" ProgID="Equation.3" ShapeID="_x0000_i1035" DrawAspect="Content" ObjectID="_1617022083"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w:t>
      </w:r>
      <w:r w:rsidRPr="00207827">
        <w:rPr>
          <w:rFonts w:eastAsia="Batang"/>
          <w:color w:val="000000"/>
          <w:szCs w:val="24"/>
        </w:rPr>
        <w:lastRenderedPageBreak/>
        <w:t>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75pt;height:18.15pt" o:ole="">
            <v:imagedata r:id="rId32" o:title=""/>
          </v:shape>
          <o:OLEObject Type="Embed" ProgID="Equation.3" ShapeID="_x0000_i1036" DrawAspect="Content" ObjectID="_1617022084"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45pt;height:32.55pt" o:ole="">
                  <v:imagedata r:id="rId34" o:title=""/>
                </v:shape>
                <o:OLEObject Type="Embed" ProgID="Equation.3" ShapeID="_x0000_i1038" DrawAspect="Content" ObjectID="_1617022085"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3.15pt;height:18.8pt" o:ole="">
            <v:imagedata r:id="rId36" o:title=""/>
          </v:shape>
          <o:OLEObject Type="Embed" ProgID="Equation.3" ShapeID="_x0000_i1039" DrawAspect="Content" ObjectID="_1617022086"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3.2pt;height:18.15pt" o:ole="">
            <v:imagedata r:id="rId38" o:title=""/>
          </v:shape>
          <o:OLEObject Type="Embed" ProgID="Equation.3" ShapeID="_x0000_i1040" DrawAspect="Content" ObjectID="_1617022087"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2.25pt;height:51.35pt" o:ole="">
            <v:imagedata r:id="rId40" o:title=""/>
          </v:shape>
          <o:OLEObject Type="Embed" ProgID="Equation.3" ShapeID="_x0000_i1041" DrawAspect="Content" ObjectID="_1617022088"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4.4pt;height:18.15pt" o:ole="">
            <v:imagedata r:id="rId42" o:title=""/>
          </v:shape>
          <o:OLEObject Type="Embed" ProgID="Equation.3" ShapeID="_x0000_i1042" DrawAspect="Content" ObjectID="_1617022089"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3.15pt;height:18.15pt" o:ole="">
            <v:imagedata r:id="rId44" o:title=""/>
          </v:shape>
          <o:OLEObject Type="Embed" ProgID="Equation.3" ShapeID="_x0000_i1043" DrawAspect="Content" ObjectID="_1617022090"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3.15pt;height:13.15pt" o:ole="">
            <v:imagedata r:id="rId14" o:title=""/>
          </v:shape>
          <o:OLEObject Type="Embed" ProgID="Equation.3" ShapeID="_x0000_i1044" DrawAspect="Content" ObjectID="_1617022091"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3.15pt;height:18.15pt" o:ole="">
            <v:imagedata r:id="rId47" o:title=""/>
          </v:shape>
          <o:OLEObject Type="Embed" ProgID="Equation.3" ShapeID="_x0000_i1045" DrawAspect="Content" ObjectID="_1617022092"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3.15pt;height:18.15pt" o:ole="">
            <v:imagedata r:id="rId44" o:title=""/>
          </v:shape>
          <o:OLEObject Type="Embed" ProgID="Equation.3" ShapeID="_x0000_i1046" DrawAspect="Content" ObjectID="_1617022093"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3.15pt;height:18.15pt" o:ole="">
            <v:imagedata r:id="rId47" o:title=""/>
          </v:shape>
          <o:OLEObject Type="Embed" ProgID="Equation.3" ShapeID="_x0000_i1047" DrawAspect="Content" ObjectID="_1617022094"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3.15pt;height:18.15pt" o:ole="">
            <v:imagedata r:id="rId44" o:title=""/>
          </v:shape>
          <o:OLEObject Type="Embed" ProgID="Equation.3" ShapeID="_x0000_i1048" DrawAspect="Content" ObjectID="_1617022095"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45pt;height:18.15pt" o:ole="">
            <v:imagedata r:id="rId52" o:title=""/>
          </v:shape>
          <o:OLEObject Type="Embed" ProgID="Equation.3" ShapeID="_x0000_i1049" DrawAspect="Content" ObjectID="_1617022096"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3.2pt;height:17.55pt" o:ole="">
            <v:imagedata r:id="rId54" o:title=""/>
          </v:shape>
          <o:OLEObject Type="Embed" ProgID="Equation.3" ShapeID="_x0000_i1050" DrawAspect="Content" ObjectID="_1617022097"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3.15pt;height:18.15pt" o:ole="">
            <v:imagedata r:id="rId44" o:title=""/>
          </v:shape>
          <o:OLEObject Type="Embed" ProgID="Equation.3" ShapeID="_x0000_i1051" DrawAspect="Content" ObjectID="_1617022098"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55pt;height:130.85pt" o:ole="">
            <v:imagedata r:id="rId57" o:title=""/>
          </v:shape>
          <o:OLEObject Type="Embed" ProgID="Equation.3" ShapeID="_x0000_i1052" DrawAspect="Content" ObjectID="_1617022099"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8.15pt" o:ole="">
            <v:imagedata r:id="rId59" o:title=""/>
          </v:shape>
          <o:OLEObject Type="Embed" ProgID="Equation.3" ShapeID="_x0000_i1053" DrawAspect="Content" ObjectID="_1617022100"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sidRPr="00207827">
        <w:rPr>
          <w:rFonts w:eastAsia="Batang"/>
          <w:color w:val="000000"/>
          <w:szCs w:val="24"/>
        </w:rPr>
        <w:lastRenderedPageBreak/>
        <w:t xml:space="preserve">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65pt;height:18.15pt" o:ole="">
            <v:imagedata r:id="rId61" o:title=""/>
          </v:shape>
          <o:OLEObject Type="Embed" ProgID="Equation.3" ShapeID="_x0000_i1054" DrawAspect="Content" ObjectID="_1617022101"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30.05pt;height:33.2pt" o:ole="">
            <v:imagedata r:id="rId63" o:title=""/>
          </v:shape>
          <o:OLEObject Type="Embed" ProgID="Equation.3" ShapeID="_x0000_i1055" DrawAspect="Content" ObjectID="_1617022102"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pt;height:8.75pt" o:ole="">
            <v:imagedata r:id="rId26" o:title=""/>
          </v:shape>
          <o:OLEObject Type="Embed" ProgID="Equation.3" ShapeID="_x0000_i1056" DrawAspect="Content" ObjectID="_1617022103"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65pt;height:21.3pt" o:ole="">
            <v:imagedata r:id="rId28" o:title=""/>
          </v:shape>
          <o:OLEObject Type="Embed" ProgID="Equation.3" ShapeID="_x0000_i1057" DrawAspect="Content" ObjectID="_1617022104"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3.15pt;height:18.15pt" o:ole="">
            <v:imagedata r:id="rId47" o:title=""/>
          </v:shape>
          <o:OLEObject Type="Embed" ProgID="Equation.3" ShapeID="_x0000_i1058" DrawAspect="Content" ObjectID="_1617022105"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65pt;height:25.05pt" o:ole="">
            <v:imagedata r:id="rId30" o:title=""/>
          </v:shape>
          <o:OLEObject Type="Embed" ProgID="Equation.3" ShapeID="_x0000_i1059" DrawAspect="Content" ObjectID="_1617022106"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3.15pt;height:18.15pt" o:ole="">
            <v:imagedata r:id="rId47" o:title=""/>
          </v:shape>
          <o:OLEObject Type="Embed" ProgID="Equation.3" ShapeID="_x0000_i1060" DrawAspect="Content" ObjectID="_1617022107"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75pt;height:18.15pt" o:ole="">
            <v:imagedata r:id="rId32" o:title=""/>
          </v:shape>
          <o:OLEObject Type="Embed" ProgID="Equation.3" ShapeID="_x0000_i1061" DrawAspect="Content" ObjectID="_1617022108"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3.15pt;height:18.15pt" o:ole="">
            <v:imagedata r:id="rId47" o:title=""/>
          </v:shape>
          <o:OLEObject Type="Embed" ProgID="Equation.3" ShapeID="_x0000_i1062" DrawAspect="Content" ObjectID="_1617022109"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3pt;height:18.15pt" o:ole="">
            <v:imagedata r:id="rId72" o:title=""/>
          </v:shape>
          <o:OLEObject Type="Embed" ProgID="Equation.3" ShapeID="_x0000_i1063" DrawAspect="Content" ObjectID="_1617022110"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75pt;height:18.15pt" o:ole="">
            <v:imagedata r:id="rId32" o:title=""/>
          </v:shape>
          <o:OLEObject Type="Embed" ProgID="Equation.3" ShapeID="_x0000_i1064" DrawAspect="Content" ObjectID="_1617022111"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3.15pt;height:18.15pt" o:ole="">
            <v:imagedata r:id="rId47" o:title=""/>
          </v:shape>
          <o:OLEObject Type="Embed" ProgID="Equation.3" ShapeID="_x0000_i1065" DrawAspect="Content" ObjectID="_1617022112"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35pt;height:33.2pt" o:ole="">
            <v:imagedata r:id="rId76" o:title=""/>
          </v:shape>
          <o:OLEObject Type="Embed" ProgID="Equation.3" ShapeID="_x0000_i1066" DrawAspect="Content" ObjectID="_1617022113"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4pt;height:65.75pt" o:ole="">
              <v:imagedata r:id="rId78" o:title=""/>
            </v:shape>
            <o:OLEObject Type="Embed" ProgID="Equation.3" ShapeID="_x0000_i1067" DrawAspect="Content" ObjectID="_1617022114"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pt;height:63.85pt" o:ole="">
                  <v:imagedata r:id="rId80" o:title=""/>
                </v:shape>
                <o:OLEObject Type="Embed" ProgID="Equation.3" ShapeID="_x0000_i1069" DrawAspect="Content" ObjectID="_1617022115"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3.15pt;height:18.15pt" o:ole="">
            <v:imagedata r:id="rId44" o:title=""/>
          </v:shape>
          <o:OLEObject Type="Embed" ProgID="Equation.3" ShapeID="_x0000_i1070" DrawAspect="Content" ObjectID="_1617022116"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3.2pt;height:17.55pt" o:ole="">
            <v:imagedata r:id="rId54" o:title=""/>
          </v:shape>
          <o:OLEObject Type="Embed" ProgID="Equation.3" ShapeID="_x0000_i1071" DrawAspect="Content" ObjectID="_1617022117"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Pr="00B602F2" w:rsidRDefault="005467FA" w:rsidP="006D7089">
      <w:pPr>
        <w:pStyle w:val="a3"/>
        <w:spacing w:after="0" w:line="240" w:lineRule="auto"/>
        <w:ind w:left="0"/>
        <w:jc w:val="both"/>
        <w:rPr>
          <w:rFonts w:ascii="Times New Roman" w:hAnsi="Times New Roman"/>
          <w:sz w:val="24"/>
          <w:szCs w:val="24"/>
        </w:rPr>
      </w:pPr>
    </w:p>
    <w:p w:rsidR="003830AE" w:rsidRPr="00B602F2" w:rsidRDefault="003830AE" w:rsidP="00207827">
      <w:pPr>
        <w:ind w:left="4820"/>
        <w:jc w:val="both"/>
        <w:rPr>
          <w:b/>
          <w:sz w:val="24"/>
          <w:szCs w:val="24"/>
        </w:rPr>
      </w:pPr>
      <w:r w:rsidRPr="00B602F2">
        <w:rPr>
          <w:b/>
          <w:sz w:val="24"/>
          <w:szCs w:val="24"/>
        </w:rPr>
        <w:t>Приложение 1</w:t>
      </w:r>
      <w:bookmarkStart w:id="1" w:name="Par165"/>
      <w:bookmarkEnd w:id="1"/>
      <w:r w:rsidRPr="00B602F2">
        <w:rPr>
          <w:b/>
          <w:sz w:val="24"/>
          <w:szCs w:val="24"/>
        </w:rPr>
        <w:t>. 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lastRenderedPageBreak/>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 xml:space="preserve">с даты получения информации о ликвидации эмитента (внесения записи в </w:t>
            </w:r>
            <w:r w:rsidRPr="006D7089">
              <w:rPr>
                <w:bCs/>
                <w:sz w:val="22"/>
                <w:szCs w:val="22"/>
              </w:rPr>
              <w:lastRenderedPageBreak/>
              <w:t>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 xml:space="preserve">(полной номинальной </w:t>
            </w:r>
            <w:r w:rsidRPr="006D7089">
              <w:rPr>
                <w:bCs/>
                <w:sz w:val="22"/>
                <w:szCs w:val="22"/>
              </w:rPr>
              <w:lastRenderedPageBreak/>
              <w:t>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lastRenderedPageBreak/>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lastRenderedPageBreak/>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w:t>
            </w:r>
            <w:r w:rsidRPr="006D7089">
              <w:rPr>
                <w:bCs/>
                <w:sz w:val="22"/>
                <w:szCs w:val="22"/>
              </w:rPr>
              <w:lastRenderedPageBreak/>
              <w:t>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lastRenderedPageBreak/>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Дата включения денежных средств (иного имущества), переданных в оплату инвестиционных паев, в </w:t>
            </w:r>
            <w:r w:rsidRPr="006D7089">
              <w:rPr>
                <w:bCs/>
                <w:sz w:val="22"/>
                <w:szCs w:val="22"/>
              </w:rPr>
              <w:lastRenderedPageBreak/>
              <w:t>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lastRenderedPageBreak/>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lastRenderedPageBreak/>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w:t>
            </w:r>
            <w:r w:rsidRPr="006D7089">
              <w:rPr>
                <w:bCs/>
                <w:sz w:val="22"/>
                <w:szCs w:val="22"/>
              </w:rPr>
              <w:lastRenderedPageBreak/>
              <w:t xml:space="preserve">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501123" w:rsidRPr="006D7089" w:rsidRDefault="00501123" w:rsidP="00207827">
            <w:pPr>
              <w:jc w:val="both"/>
              <w:rPr>
                <w:bCs/>
                <w:sz w:val="22"/>
                <w:szCs w:val="22"/>
              </w:rPr>
            </w:pPr>
            <w:r w:rsidRPr="006D7089">
              <w:rPr>
                <w:bCs/>
                <w:sz w:val="22"/>
                <w:szCs w:val="22"/>
              </w:rPr>
              <w:lastRenderedPageBreak/>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lastRenderedPageBreak/>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Pr="006D7089" w:rsidRDefault="00101924"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3830AE" w:rsidRPr="00207827" w:rsidRDefault="003830AE" w:rsidP="00B602F2">
      <w:pPr>
        <w:ind w:left="4820"/>
        <w:jc w:val="both"/>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B602F2">
      <w:pPr>
        <w:ind w:left="4820"/>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E76F60" w:rsidRPr="00B602F2">
        <w:rPr>
          <w:rFonts w:eastAsia="Batang"/>
          <w:color w:val="000000"/>
          <w:sz w:val="24"/>
          <w:szCs w:val="24"/>
        </w:rPr>
        <w:t>3</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lastRenderedPageBreak/>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lastRenderedPageBreak/>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381153"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lastRenderedPageBreak/>
        <w:t>Цена рассчитывается по формуле:</w:t>
      </w:r>
    </w:p>
    <w:p w:rsidR="0037389E" w:rsidRPr="00207827" w:rsidRDefault="00381153"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381153"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381153"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381153"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381153"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38115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38115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38115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38115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38115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38115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381153"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38115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38115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381153"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38115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38115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38115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38115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38115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38115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в качестве безрисковой ставки доходности применяется ставка Libor1Y.</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6D7089" w:rsidRDefault="00B34013"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B602F2" w:rsidRDefault="00451B1D"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34013" w:rsidRPr="00B602F2">
        <w:rPr>
          <w:rFonts w:eastAsia="Calibri"/>
          <w:sz w:val="24"/>
          <w:szCs w:val="24"/>
          <w:lang w:eastAsia="en-US"/>
        </w:rPr>
        <w:t>цена, рассчитанная Ценовым Центром НКО АО НРД по методике определения справедливой стоимости;</w:t>
      </w:r>
    </w:p>
    <w:p w:rsidR="00B34013" w:rsidRPr="00207827" w:rsidRDefault="00B34013" w:rsidP="006D7089">
      <w:pPr>
        <w:tabs>
          <w:tab w:val="num" w:pos="360"/>
        </w:tabs>
        <w:spacing w:before="120"/>
        <w:contextualSpacing/>
        <w:jc w:val="both"/>
        <w:rPr>
          <w:rFonts w:eastAsia="Calibri"/>
          <w:sz w:val="24"/>
          <w:szCs w:val="24"/>
          <w:lang w:eastAsia="en-US"/>
        </w:rPr>
      </w:pPr>
    </w:p>
    <w:p w:rsidR="00E62868" w:rsidRPr="00B602F2" w:rsidRDefault="00190665" w:rsidP="00207827">
      <w:pPr>
        <w:spacing w:after="240"/>
        <w:jc w:val="both"/>
        <w:rPr>
          <w:b/>
          <w:bCs/>
          <w:color w:val="000000"/>
          <w:sz w:val="24"/>
          <w:szCs w:val="24"/>
        </w:rPr>
      </w:pPr>
      <w:r w:rsidRPr="00B602F2">
        <w:rPr>
          <w:b/>
          <w:bCs/>
          <w:color w:val="000000"/>
          <w:sz w:val="24"/>
          <w:szCs w:val="24"/>
        </w:rPr>
        <w:t>Для</w:t>
      </w:r>
      <w:r w:rsidR="00E62868" w:rsidRPr="00B602F2">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B602F2">
        <w:rPr>
          <w:b/>
          <w:bCs/>
          <w:color w:val="000000"/>
          <w:sz w:val="24"/>
          <w:szCs w:val="24"/>
        </w:rPr>
        <w:t>е</w:t>
      </w:r>
      <w:r w:rsidR="00E62868" w:rsidRPr="00B602F2">
        <w:rPr>
          <w:b/>
          <w:bCs/>
          <w:color w:val="000000"/>
          <w:sz w:val="24"/>
          <w:szCs w:val="24"/>
        </w:rPr>
        <w:t xml:space="preserve"> бума</w:t>
      </w:r>
      <w:r w:rsidR="00A3413F" w:rsidRPr="00B602F2">
        <w:rPr>
          <w:b/>
          <w:bCs/>
          <w:color w:val="000000"/>
          <w:sz w:val="24"/>
          <w:szCs w:val="24"/>
        </w:rPr>
        <w:t>ги</w:t>
      </w:r>
      <w:r w:rsidR="00894CA5" w:rsidRPr="00B602F2">
        <w:rPr>
          <w:b/>
          <w:bCs/>
          <w:color w:val="000000"/>
          <w:sz w:val="24"/>
          <w:szCs w:val="24"/>
        </w:rPr>
        <w:t>, для которых основным рынком является внебиржевой рынок</w:t>
      </w:r>
      <w:r w:rsidR="00236CED" w:rsidRPr="00B602F2">
        <w:rPr>
          <w:b/>
          <w:bCs/>
          <w:color w:val="000000"/>
          <w:sz w:val="24"/>
          <w:szCs w:val="24"/>
        </w:rPr>
        <w:t xml:space="preserve"> </w:t>
      </w:r>
      <w:r w:rsidR="00E62868" w:rsidRPr="00B602F2">
        <w:rPr>
          <w:b/>
          <w:bCs/>
          <w:color w:val="000000"/>
          <w:sz w:val="24"/>
          <w:szCs w:val="24"/>
        </w:rPr>
        <w:t>организаций</w:t>
      </w:r>
      <w:r w:rsidRPr="00B602F2">
        <w:rPr>
          <w:b/>
          <w:bCs/>
          <w:color w:val="000000"/>
          <w:sz w:val="24"/>
          <w:szCs w:val="24"/>
        </w:rPr>
        <w:t xml:space="preserve"> используются</w:t>
      </w:r>
      <w:r w:rsidR="00E62868" w:rsidRPr="00B602F2">
        <w:rPr>
          <w:b/>
          <w:bCs/>
          <w:color w:val="000000"/>
          <w:sz w:val="24"/>
          <w:szCs w:val="24"/>
        </w:rPr>
        <w:t>:</w:t>
      </w:r>
    </w:p>
    <w:p w:rsidR="00EB6766" w:rsidRPr="00B602F2" w:rsidRDefault="00EB6766" w:rsidP="006D7089">
      <w:pPr>
        <w:numPr>
          <w:ilvl w:val="0"/>
          <w:numId w:val="102"/>
        </w:numPr>
        <w:spacing w:before="120"/>
        <w:contextualSpacing/>
        <w:jc w:val="both"/>
        <w:rPr>
          <w:rFonts w:eastAsia="Calibri"/>
          <w:sz w:val="24"/>
          <w:szCs w:val="24"/>
          <w:lang w:eastAsia="en-US"/>
        </w:rPr>
      </w:pPr>
      <w:r w:rsidRPr="00B602F2">
        <w:rPr>
          <w:rFonts w:eastAsia="Calibri"/>
          <w:sz w:val="24"/>
          <w:szCs w:val="24"/>
          <w:lang w:eastAsia="en-US"/>
        </w:rPr>
        <w:t>котировк</w:t>
      </w:r>
      <w:r w:rsidR="00190665" w:rsidRPr="00B602F2">
        <w:rPr>
          <w:rFonts w:eastAsia="Calibri"/>
          <w:sz w:val="24"/>
          <w:szCs w:val="24"/>
          <w:lang w:eastAsia="en-US"/>
        </w:rPr>
        <w:t>и</w:t>
      </w:r>
      <w:r w:rsidRPr="00B602F2">
        <w:rPr>
          <w:rFonts w:eastAsia="Calibri"/>
          <w:sz w:val="24"/>
          <w:szCs w:val="24"/>
          <w:lang w:eastAsia="en-US"/>
        </w:rPr>
        <w:t xml:space="preserve">  информационно-котировальн</w:t>
      </w:r>
      <w:r w:rsidR="00190665" w:rsidRPr="00B602F2">
        <w:rPr>
          <w:rFonts w:eastAsia="Calibri"/>
          <w:sz w:val="24"/>
          <w:szCs w:val="24"/>
          <w:lang w:eastAsia="en-US"/>
        </w:rPr>
        <w:t>ой</w:t>
      </w:r>
      <w:r w:rsidRPr="00B602F2">
        <w:rPr>
          <w:rFonts w:eastAsia="Calibri"/>
          <w:sz w:val="24"/>
          <w:szCs w:val="24"/>
          <w:lang w:eastAsia="en-US"/>
        </w:rPr>
        <w:t xml:space="preserve"> систем</w:t>
      </w:r>
      <w:r w:rsidR="00190665" w:rsidRPr="00B602F2">
        <w:rPr>
          <w:rFonts w:eastAsia="Calibri"/>
          <w:sz w:val="24"/>
          <w:szCs w:val="24"/>
          <w:lang w:eastAsia="en-US"/>
        </w:rPr>
        <w:t>ы</w:t>
      </w:r>
      <w:r w:rsidRPr="00B602F2">
        <w:rPr>
          <w:rFonts w:eastAsia="Calibri"/>
          <w:sz w:val="24"/>
          <w:szCs w:val="24"/>
          <w:lang w:eastAsia="en-US"/>
        </w:rPr>
        <w:t xml:space="preserve"> (Bloomberg)</w:t>
      </w:r>
      <w:r w:rsidR="00190665" w:rsidRPr="00B602F2">
        <w:rPr>
          <w:rFonts w:eastAsia="Calibri"/>
          <w:sz w:val="24"/>
          <w:szCs w:val="24"/>
          <w:lang w:eastAsia="en-US"/>
        </w:rPr>
        <w:t xml:space="preserve"> </w:t>
      </w:r>
      <w:r w:rsidRPr="00B602F2">
        <w:rPr>
          <w:rFonts w:eastAsia="Calibri"/>
          <w:sz w:val="24"/>
          <w:szCs w:val="24"/>
          <w:lang w:eastAsia="en-US"/>
        </w:rPr>
        <w:t>в порядке очередности:</w:t>
      </w:r>
    </w:p>
    <w:p w:rsidR="00D179B7" w:rsidRPr="00B602F2" w:rsidRDefault="00D179B7" w:rsidP="00207827">
      <w:pPr>
        <w:numPr>
          <w:ilvl w:val="0"/>
          <w:numId w:val="66"/>
        </w:numPr>
        <w:jc w:val="both"/>
        <w:rPr>
          <w:sz w:val="24"/>
          <w:szCs w:val="24"/>
        </w:rPr>
      </w:pPr>
      <w:r w:rsidRPr="00B602F2">
        <w:rPr>
          <w:sz w:val="24"/>
          <w:szCs w:val="24"/>
        </w:rPr>
        <w:t xml:space="preserve">цена PX_LAST BGN (Bloomberg Generic), раскрываемая информационной системой "Блумберг" (Bloomberg) на дату определения СЧА; </w:t>
      </w:r>
    </w:p>
    <w:p w:rsidR="001B1FD4" w:rsidRPr="00B602F2" w:rsidRDefault="001B1FD4" w:rsidP="00207827">
      <w:pPr>
        <w:numPr>
          <w:ilvl w:val="0"/>
          <w:numId w:val="66"/>
        </w:numPr>
        <w:rPr>
          <w:sz w:val="24"/>
          <w:szCs w:val="24"/>
        </w:rPr>
      </w:pPr>
      <w:r w:rsidRPr="00B602F2">
        <w:rPr>
          <w:sz w:val="24"/>
          <w:szCs w:val="24"/>
        </w:rPr>
        <w:t>цена BVAL с BVAL Score равен или выше 6, рассчитанная информационным агентством Bloomberg.</w:t>
      </w:r>
    </w:p>
    <w:p w:rsidR="008E709B" w:rsidRPr="00B602F2" w:rsidRDefault="008E709B" w:rsidP="006D7089">
      <w:pPr>
        <w:tabs>
          <w:tab w:val="num" w:pos="360"/>
        </w:tabs>
        <w:spacing w:before="120"/>
        <w:contextualSpacing/>
        <w:jc w:val="both"/>
        <w:rPr>
          <w:rFonts w:eastAsia="Calibri"/>
          <w:sz w:val="24"/>
          <w:szCs w:val="24"/>
          <w:lang w:eastAsia="en-US"/>
        </w:rPr>
      </w:pPr>
      <w:r w:rsidRPr="00B602F2">
        <w:rPr>
          <w:sz w:val="24"/>
          <w:szCs w:val="24"/>
        </w:rPr>
        <w:t xml:space="preserve"> </w:t>
      </w:r>
    </w:p>
    <w:p w:rsidR="00E238AB" w:rsidRPr="00E238AB" w:rsidRDefault="00D239E8" w:rsidP="00E238AB">
      <w:pPr>
        <w:numPr>
          <w:ilvl w:val="0"/>
          <w:numId w:val="102"/>
        </w:numPr>
        <w:spacing w:before="120"/>
        <w:contextualSpacing/>
        <w:jc w:val="both"/>
        <w:rPr>
          <w:rFonts w:eastAsia="Calibri"/>
          <w:sz w:val="24"/>
          <w:szCs w:val="24"/>
          <w:lang w:eastAsia="en-US"/>
        </w:rPr>
      </w:pPr>
      <w:r w:rsidRPr="00E238AB">
        <w:rPr>
          <w:rFonts w:eastAsia="Calibri"/>
          <w:sz w:val="24"/>
          <w:szCs w:val="24"/>
          <w:lang w:eastAsia="en-US"/>
        </w:rPr>
        <w:t>цена, рассчитанная Ценовым Центром НКО АО НРД по методике определения справедливой стоимости</w:t>
      </w:r>
      <w:r w:rsidR="003730E0">
        <w:rPr>
          <w:rFonts w:eastAsia="Calibri"/>
          <w:sz w:val="24"/>
          <w:szCs w:val="24"/>
          <w:lang w:eastAsia="en-US"/>
        </w:rPr>
        <w:t xml:space="preserve"> </w:t>
      </w:r>
      <w:r w:rsidR="00620D35" w:rsidRPr="00E238AB">
        <w:rPr>
          <w:rFonts w:eastAsia="Calibri"/>
          <w:sz w:val="24"/>
          <w:szCs w:val="24"/>
          <w:lang w:eastAsia="en-US"/>
        </w:rPr>
        <w:t>(для еврооблигаций Министерства Финансов РФ)</w:t>
      </w:r>
    </w:p>
    <w:p w:rsidR="00D7733C" w:rsidRPr="00B602F2" w:rsidRDefault="00E238AB" w:rsidP="00E238AB">
      <w:pPr>
        <w:numPr>
          <w:ilvl w:val="0"/>
          <w:numId w:val="102"/>
        </w:numPr>
        <w:spacing w:before="120"/>
        <w:contextualSpacing/>
        <w:jc w:val="both"/>
        <w:rPr>
          <w:rFonts w:eastAsia="Calibri"/>
          <w:sz w:val="24"/>
          <w:szCs w:val="24"/>
        </w:rPr>
      </w:pPr>
      <w:r>
        <w:rPr>
          <w:bCs/>
          <w:color w:val="000000"/>
          <w:sz w:val="24"/>
          <w:szCs w:val="24"/>
        </w:rPr>
        <w:t xml:space="preserve"> </w:t>
      </w:r>
      <w:r w:rsidR="00D7733C" w:rsidRPr="006D7089">
        <w:rPr>
          <w:bCs/>
          <w:color w:val="000000"/>
          <w:sz w:val="24"/>
          <w:szCs w:val="24"/>
        </w:rPr>
        <w:t>модель оценки, основанная на изменениях существенных событий</w:t>
      </w:r>
      <w:r w:rsidR="00D7733C" w:rsidRPr="00207827">
        <w:rPr>
          <w:bCs/>
          <w:i/>
          <w:color w:val="000000"/>
          <w:sz w:val="24"/>
          <w:szCs w:val="24"/>
        </w:rPr>
        <w:t xml:space="preserve"> (п</w:t>
      </w:r>
      <w:r w:rsidR="00D7733C" w:rsidRPr="00207827">
        <w:rPr>
          <w:rFonts w:eastAsia="Calibri"/>
          <w:i/>
          <w:sz w:val="24"/>
          <w:szCs w:val="24"/>
        </w:rPr>
        <w:t>рименяется в случае отсутствии цен</w:t>
      </w:r>
      <w:r w:rsidR="00761FA8">
        <w:rPr>
          <w:rFonts w:eastAsia="Calibri"/>
          <w:i/>
          <w:sz w:val="24"/>
          <w:szCs w:val="24"/>
        </w:rPr>
        <w:t xml:space="preserve"> долговых ценных бумаг</w:t>
      </w:r>
      <w:r w:rsidR="00D7733C" w:rsidRPr="00207827">
        <w:rPr>
          <w:rFonts w:eastAsia="Calibri"/>
          <w:i/>
          <w:sz w:val="24"/>
          <w:szCs w:val="24"/>
        </w:rPr>
        <w:t>, вызванное выходными/неторговыми днями в  США</w:t>
      </w:r>
      <w:r w:rsidR="00D7733C" w:rsidRPr="00B602F2">
        <w:rPr>
          <w:rFonts w:eastAsia="Calibri"/>
          <w:i/>
          <w:sz w:val="24"/>
          <w:szCs w:val="24"/>
        </w:rPr>
        <w:t>)</w:t>
      </w:r>
    </w:p>
    <w:p w:rsidR="00834BCC" w:rsidRPr="00207827" w:rsidRDefault="00834BCC" w:rsidP="00207827">
      <w:pPr>
        <w:ind w:firstLine="426"/>
        <w:jc w:val="both"/>
        <w:rPr>
          <w:sz w:val="24"/>
          <w:szCs w:val="24"/>
        </w:rPr>
      </w:pPr>
      <w:r w:rsidRPr="00207827">
        <w:rPr>
          <w:sz w:val="24"/>
          <w:szCs w:val="24"/>
        </w:rPr>
        <w:t>Цена рассчитывается по формуле:</w:t>
      </w:r>
    </w:p>
    <w:p w:rsidR="00834BCC" w:rsidRPr="00207827" w:rsidRDefault="00381153"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381153"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381153"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04E4DA87" wp14:editId="5AA01F3E">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E201F4" w:rsidP="006D7089">
      <w:pPr>
        <w:tabs>
          <w:tab w:val="num" w:pos="360"/>
        </w:tabs>
        <w:spacing w:before="120"/>
        <w:contextualSpacing/>
        <w:jc w:val="both"/>
        <w:rPr>
          <w:rFonts w:eastAsia="Calibri"/>
          <w:sz w:val="24"/>
          <w:szCs w:val="24"/>
          <w:lang w:eastAsia="en-US"/>
        </w:rPr>
      </w:pP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25pt;height:34.45pt" o:ole="">
            <v:imagedata r:id="rId85" o:title=""/>
          </v:shape>
          <o:OLEObject Type="Embed" ProgID="Equation.3" ShapeID="_x0000_i1072" DrawAspect="Content" ObjectID="_1617022118"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B602F2"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201F4" w:rsidRPr="00B602F2" w:rsidRDefault="00E201F4" w:rsidP="006D7089">
      <w:pPr>
        <w:jc w:val="both"/>
        <w:rPr>
          <w:sz w:val="24"/>
          <w:szCs w:val="24"/>
        </w:rPr>
      </w:pPr>
      <w:r w:rsidRPr="00B602F2">
        <w:rPr>
          <w:sz w:val="24"/>
          <w:szCs w:val="24"/>
          <w:lang w:val="en-US"/>
        </w:rPr>
        <w:t>r</w:t>
      </w:r>
      <w:r w:rsidRPr="00B602F2">
        <w:rPr>
          <w:sz w:val="24"/>
          <w:szCs w:val="24"/>
        </w:rPr>
        <w:t>i– ставка кривой бескупонной доходности рынка ОФЗ (</w:t>
      </w:r>
      <w:r w:rsidRPr="00B602F2">
        <w:rPr>
          <w:sz w:val="24"/>
          <w:szCs w:val="24"/>
          <w:lang w:val="en-US"/>
        </w:rPr>
        <w:t>G</w:t>
      </w:r>
      <w:r w:rsidRPr="00B602F2">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lastRenderedPageBreak/>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lastRenderedPageBreak/>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381153"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381153"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w:t>
      </w:r>
      <w:r w:rsidRPr="00207827">
        <w:rPr>
          <w:sz w:val="24"/>
          <w:szCs w:val="24"/>
        </w:rPr>
        <w:lastRenderedPageBreak/>
        <w:t xml:space="preserve">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381153"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381153"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381153"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w:t>
      </w:r>
      <w:r w:rsidRPr="00B602F2">
        <w:rPr>
          <w:sz w:val="24"/>
          <w:szCs w:val="24"/>
        </w:rPr>
        <w:lastRenderedPageBreak/>
        <w:t>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lastRenderedPageBreak/>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381153"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381153"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381153"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25pt;height:34.45pt" o:ole="">
            <v:imagedata r:id="rId85" o:title=""/>
          </v:shape>
          <o:OLEObject Type="Embed" ProgID="Equation.3" ShapeID="_x0000_i1073" DrawAspect="Content" ObjectID="_1617022119"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B602F2"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D16C2" w:rsidRPr="00207827" w:rsidRDefault="00ED16C2" w:rsidP="006D7089">
      <w:pPr>
        <w:jc w:val="both"/>
        <w:rPr>
          <w:sz w:val="24"/>
          <w:szCs w:val="24"/>
        </w:rPr>
      </w:pPr>
      <w:r w:rsidRPr="00B602F2">
        <w:rPr>
          <w:sz w:val="24"/>
          <w:szCs w:val="24"/>
          <w:lang w:val="en-US"/>
        </w:rPr>
        <w:t>r</w:t>
      </w:r>
      <w:r w:rsidRPr="00B602F2">
        <w:rPr>
          <w:sz w:val="24"/>
          <w:szCs w:val="24"/>
        </w:rPr>
        <w:t>i– ставка</w:t>
      </w:r>
      <w:r w:rsidRPr="006D7089">
        <w:rPr>
          <w:sz w:val="24"/>
          <w:szCs w:val="24"/>
        </w:rPr>
        <w:t xml:space="preserve"> </w:t>
      </w:r>
      <w:r w:rsidRPr="006D7089">
        <w:rPr>
          <w:sz w:val="24"/>
          <w:szCs w:val="24"/>
          <w:lang w:val="en-US"/>
        </w:rPr>
        <w:t>LIBOR</w:t>
      </w:r>
      <w:r w:rsidRPr="006D7089">
        <w:rPr>
          <w:sz w:val="24"/>
          <w:szCs w:val="24"/>
        </w:rPr>
        <w:t xml:space="preserve">, наиболее близкая к сроку погашения облигации, или значение на кривой доходностей </w:t>
      </w:r>
      <w:r w:rsidRPr="006D7089">
        <w:rPr>
          <w:sz w:val="24"/>
          <w:szCs w:val="24"/>
          <w:lang w:val="en-US"/>
        </w:rPr>
        <w:t>US</w:t>
      </w:r>
      <w:r w:rsidRPr="006D7089">
        <w:rPr>
          <w:sz w:val="24"/>
          <w:szCs w:val="24"/>
        </w:rPr>
        <w:t xml:space="preserve"> </w:t>
      </w:r>
      <w:r w:rsidRPr="006D7089">
        <w:rPr>
          <w:sz w:val="24"/>
          <w:szCs w:val="24"/>
          <w:lang w:val="en-US"/>
        </w:rPr>
        <w:t>Treasures</w:t>
      </w:r>
      <w:r w:rsidRPr="006D7089">
        <w:rPr>
          <w:sz w:val="24"/>
          <w:szCs w:val="24"/>
        </w:rPr>
        <w:t xml:space="preserve"> </w:t>
      </w:r>
      <w:r w:rsidRPr="00207827">
        <w:rPr>
          <w:sz w:val="24"/>
          <w:szCs w:val="24"/>
        </w:rPr>
        <w:t>наиболее близкая к сроку погашения облигации;</w:t>
      </w:r>
    </w:p>
    <w:p w:rsidR="00ED16C2" w:rsidRPr="00B47CC0" w:rsidRDefault="00ED16C2" w:rsidP="006D7089">
      <w:pPr>
        <w:jc w:val="both"/>
        <w:rPr>
          <w:sz w:val="24"/>
          <w:szCs w:val="24"/>
        </w:rPr>
      </w:pPr>
      <w:r w:rsidRPr="00207827">
        <w:rPr>
          <w:sz w:val="24"/>
          <w:szCs w:val="24"/>
          <w:lang w:val="en-US"/>
        </w:rPr>
        <w:t>CrSpread</w:t>
      </w:r>
      <w:r w:rsidRPr="00B47CC0">
        <w:rPr>
          <w:sz w:val="24"/>
          <w:szCs w:val="24"/>
        </w:rPr>
        <w:t xml:space="preserve"> – кредитный спред облигационного индекса (расчет приведен ниже);</w:t>
      </w:r>
    </w:p>
    <w:p w:rsidR="00ED16C2" w:rsidRPr="00B602F2" w:rsidRDefault="00ED16C2"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w:t>
      </w:r>
      <w:r w:rsidRPr="00B602F2">
        <w:rPr>
          <w:sz w:val="24"/>
          <w:szCs w:val="24"/>
        </w:rPr>
        <w:lastRenderedPageBreak/>
        <w:t>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lastRenderedPageBreak/>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 xml:space="preserve">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w:t>
      </w:r>
      <w:r w:rsidRPr="00B602F2">
        <w:rPr>
          <w:rFonts w:eastAsia="Calibri"/>
          <w:sz w:val="24"/>
          <w:szCs w:val="24"/>
          <w:lang w:eastAsia="en-US"/>
        </w:rPr>
        <w:lastRenderedPageBreak/>
        <w:t>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AE2EEA" w:rsidRPr="00B602F2" w:rsidRDefault="00AE2EEA" w:rsidP="006D7089">
      <w:pPr>
        <w:spacing w:before="120"/>
        <w:contextualSpacing/>
        <w:jc w:val="both"/>
        <w:rPr>
          <w:rFonts w:eastAsia="Calibri"/>
          <w:sz w:val="24"/>
          <w:szCs w:val="24"/>
          <w:lang w:eastAsia="en-US"/>
        </w:rPr>
      </w:pP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lastRenderedPageBreak/>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lastRenderedPageBreak/>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8F7813" w:rsidRPr="00B602F2" w:rsidRDefault="008F7813" w:rsidP="00207827">
      <w:pPr>
        <w:ind w:firstLine="426"/>
        <w:jc w:val="both"/>
        <w:rPr>
          <w:sz w:val="24"/>
          <w:szCs w:val="24"/>
        </w:rPr>
      </w:pPr>
      <w:r w:rsidRPr="00B602F2">
        <w:rPr>
          <w:sz w:val="24"/>
          <w:szCs w:val="24"/>
        </w:rPr>
        <w:t>На дату оценки производится проверка соответствия процентной ставки по депозиту</w:t>
      </w:r>
      <w:r w:rsidR="00391DC8">
        <w:rPr>
          <w:sz w:val="24"/>
          <w:szCs w:val="24"/>
        </w:rPr>
        <w:t xml:space="preserve"> </w:t>
      </w:r>
      <w:r w:rsidRPr="00B602F2">
        <w:rPr>
          <w:sz w:val="24"/>
          <w:szCs w:val="24"/>
        </w:rPr>
        <w:t>(депозитному сертификату), определенной в договоре банковского вклада (депозитного сертификата)рыночным условиям.</w:t>
      </w:r>
    </w:p>
    <w:p w:rsidR="008F7813" w:rsidRPr="00B602F2" w:rsidRDefault="008F7813" w:rsidP="00207827">
      <w:pPr>
        <w:ind w:firstLine="426"/>
        <w:jc w:val="both"/>
        <w:rPr>
          <w:sz w:val="24"/>
          <w:szCs w:val="24"/>
        </w:rPr>
      </w:pPr>
      <w:r w:rsidRPr="00B602F2">
        <w:rPr>
          <w:sz w:val="24"/>
          <w:szCs w:val="24"/>
        </w:rPr>
        <w:t>Процентная ставка по рублевому депозиту (депозитному сертификату)</w:t>
      </w:r>
      <w:r w:rsidR="0047623A">
        <w:rPr>
          <w:sz w:val="24"/>
          <w:szCs w:val="24"/>
        </w:rPr>
        <w:t xml:space="preserve"> </w:t>
      </w:r>
      <w:r w:rsidRPr="00B602F2">
        <w:rPr>
          <w:sz w:val="24"/>
          <w:szCs w:val="24"/>
        </w:rPr>
        <w:t>признается рыночной, если выполнено условие:</w:t>
      </w:r>
    </w:p>
    <w:p w:rsidR="008F7813" w:rsidRPr="00207827" w:rsidRDefault="00381153" w:rsidP="00207827">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*1.1</m:t>
          </m:r>
        </m:oMath>
      </m:oMathPara>
    </w:p>
    <w:p w:rsidR="008F7813" w:rsidRPr="00207827" w:rsidRDefault="008F7813" w:rsidP="00207827">
      <w:pPr>
        <w:ind w:firstLine="426"/>
        <w:jc w:val="both"/>
        <w:rPr>
          <w:sz w:val="24"/>
          <w:szCs w:val="24"/>
        </w:rPr>
      </w:pPr>
      <w:r w:rsidRPr="00207827">
        <w:rPr>
          <w:sz w:val="24"/>
          <w:szCs w:val="24"/>
        </w:rPr>
        <w:t>где:</w:t>
      </w:r>
    </w:p>
    <w:p w:rsidR="008F7813" w:rsidRPr="00207827" w:rsidRDefault="0038115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депозиту(депозитному сертификату) в процентах,</w:t>
      </w:r>
    </w:p>
    <w:p w:rsidR="008F7813" w:rsidRPr="00B602F2" w:rsidRDefault="0038115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8F7813" w:rsidRPr="00207827">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8F7813" w:rsidRPr="00B602F2">
        <w:rPr>
          <w:sz w:val="24"/>
          <w:szCs w:val="24"/>
        </w:rPr>
        <w:t>):</w:t>
      </w:r>
    </w:p>
    <w:p w:rsidR="008F7813" w:rsidRPr="00207827" w:rsidRDefault="0038115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B602F2" w:rsidRDefault="0038115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w:t>
      </w:r>
      <w:r w:rsidR="00391DC8">
        <w:rPr>
          <w:sz w:val="24"/>
          <w:szCs w:val="24"/>
        </w:rPr>
        <w:t>,</w:t>
      </w:r>
      <w:r w:rsidR="008F7813" w:rsidRPr="00207827">
        <w:rPr>
          <w:sz w:val="24"/>
          <w:szCs w:val="24"/>
        </w:rPr>
        <w:t xml:space="preserve"> наиболее близкий к дате оценки, по депозитам со сроком привлечения, попадающим в тот же интервал, что и срок, оставший</w:t>
      </w:r>
      <w:r w:rsidR="008F7813" w:rsidRPr="00B602F2">
        <w:rPr>
          <w:sz w:val="24"/>
          <w:szCs w:val="24"/>
        </w:rPr>
        <w:t>ся на отчетную дату до погашения оцениваемого депозита,</w:t>
      </w:r>
    </w:p>
    <w:p w:rsidR="008F7813" w:rsidRPr="00207827" w:rsidRDefault="00381153"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8F7813" w:rsidRPr="00207827">
        <w:rPr>
          <w:sz w:val="24"/>
          <w:szCs w:val="24"/>
        </w:rPr>
        <w:t xml:space="preserve"> – ключевая ставка ЦБ РФ, установленная на дату оценки,</w:t>
      </w:r>
    </w:p>
    <w:p w:rsidR="008F7813" w:rsidRPr="00207827" w:rsidRDefault="0038115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8F7813" w:rsidRPr="00207827">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Средняя за календарный месяц ключевая ставка ЦБ РФ рассчитывается по формуле (</w:t>
      </w:r>
      <w:r w:rsidRPr="00B602F2">
        <w:rPr>
          <w:sz w:val="24"/>
          <w:szCs w:val="24"/>
        </w:rPr>
        <w:t>округление до 2 знаков после запятой):</w:t>
      </w:r>
    </w:p>
    <w:p w:rsidR="008F7813" w:rsidRPr="00207827" w:rsidRDefault="00381153"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8F7813" w:rsidRPr="00207827" w:rsidRDefault="008F7813" w:rsidP="00B602F2">
      <w:pPr>
        <w:ind w:firstLine="426"/>
        <w:jc w:val="both"/>
        <w:rPr>
          <w:sz w:val="24"/>
          <w:szCs w:val="24"/>
        </w:rPr>
      </w:pPr>
      <w:r w:rsidRPr="00207827">
        <w:rPr>
          <w:sz w:val="24"/>
          <w:szCs w:val="24"/>
        </w:rPr>
        <w:t>где:</w:t>
      </w:r>
    </w:p>
    <w:p w:rsidR="008F7813" w:rsidRPr="00B602F2" w:rsidRDefault="008D2A32" w:rsidP="00B602F2">
      <w:pPr>
        <w:ind w:firstLine="426"/>
        <w:jc w:val="both"/>
        <w:rPr>
          <w:sz w:val="24"/>
          <w:szCs w:val="24"/>
        </w:rPr>
      </w:pPr>
      <m:oMath>
        <m:r>
          <w:rPr>
            <w:rFonts w:ascii="Cambria Math" w:hAnsi="Cambria Math"/>
            <w:sz w:val="24"/>
            <w:szCs w:val="24"/>
          </w:rPr>
          <m:t>T</m:t>
        </m:r>
      </m:oMath>
      <w:r w:rsidR="008F7813" w:rsidRPr="00B602F2">
        <w:rPr>
          <w:sz w:val="24"/>
          <w:szCs w:val="24"/>
        </w:rPr>
        <w:t xml:space="preserve"> – количество дней в календарном месяце, за который рассчитывается процентная ставка,</w:t>
      </w:r>
    </w:p>
    <w:p w:rsidR="008F7813" w:rsidRPr="00207827" w:rsidRDefault="00381153"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 xml:space="preserve"> – ключевая ставка ЦБ РФ, действовавшая в i-ом периоде календарного месяца,</w:t>
      </w:r>
    </w:p>
    <w:p w:rsidR="008F7813" w:rsidRPr="00207827" w:rsidRDefault="0038115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8F7813" w:rsidRPr="00207827">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В том случае, если процентная ставка по рублевому депозиту (депозитному сертификату) не признается рыночно</w:t>
      </w:r>
      <w:r w:rsidRPr="00B602F2">
        <w:rPr>
          <w:sz w:val="24"/>
          <w:szCs w:val="24"/>
        </w:rPr>
        <w:t>й, в качестве рыночной признается ставка (округление до 2 знаков после запятой):</w:t>
      </w:r>
    </w:p>
    <w:p w:rsidR="008F7813" w:rsidRPr="00207827" w:rsidRDefault="00381153"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*0,9,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*0,9</m:t>
                  </m:r>
                </m:e>
              </m:eqArr>
            </m:e>
          </m:d>
        </m:oMath>
      </m:oMathPara>
    </w:p>
    <w:p w:rsidR="008F7813" w:rsidRPr="00B602F2" w:rsidRDefault="008F7813" w:rsidP="00B602F2">
      <w:pPr>
        <w:ind w:firstLine="426"/>
        <w:jc w:val="both"/>
        <w:rPr>
          <w:sz w:val="24"/>
          <w:szCs w:val="24"/>
        </w:rPr>
      </w:pPr>
      <w:r w:rsidRPr="00207827">
        <w:rPr>
          <w:sz w:val="24"/>
          <w:szCs w:val="24"/>
        </w:rPr>
        <w:t>Процентная ставка по депозиту (депозитному сертификату)</w:t>
      </w:r>
      <w:r w:rsidRPr="00B602F2">
        <w:rPr>
          <w:sz w:val="24"/>
          <w:szCs w:val="24"/>
        </w:rPr>
        <w:t>в долларах США или Евро признается рыночной, если выполнено условие:</w:t>
      </w:r>
    </w:p>
    <w:p w:rsidR="008F7813" w:rsidRPr="00207827" w:rsidRDefault="0038115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*0,99</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*1,01</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207827" w:rsidRDefault="0038115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 (депозитному сертификату)в процентах,</w:t>
      </w:r>
    </w:p>
    <w:p w:rsidR="008F7813" w:rsidRPr="00B602F2" w:rsidRDefault="0038115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 наиболее близкий к дате оценки, по депозитам со сроком привле</w:t>
      </w:r>
      <w:r w:rsidR="008F7813" w:rsidRPr="00B602F2">
        <w:rPr>
          <w:sz w:val="24"/>
          <w:szCs w:val="24"/>
        </w:rPr>
        <w:t>чения, попадающим в тот же интервал, что и срок, оставшийся на отчетную дату до погашения оцениваемого депозита</w:t>
      </w:r>
      <w:r w:rsidR="0047623A">
        <w:rPr>
          <w:sz w:val="24"/>
          <w:szCs w:val="24"/>
        </w:rPr>
        <w:t xml:space="preserve"> </w:t>
      </w:r>
      <w:r w:rsidR="008F7813" w:rsidRPr="00B602F2">
        <w:rPr>
          <w:sz w:val="24"/>
          <w:szCs w:val="24"/>
        </w:rPr>
        <w:t>(депозитному сертификату).</w:t>
      </w:r>
    </w:p>
    <w:p w:rsidR="008F7813" w:rsidRPr="00B602F2" w:rsidRDefault="008F7813" w:rsidP="00B602F2">
      <w:pPr>
        <w:ind w:firstLine="426"/>
        <w:jc w:val="both"/>
        <w:rPr>
          <w:sz w:val="24"/>
          <w:szCs w:val="24"/>
        </w:rPr>
      </w:pPr>
      <w:r w:rsidRPr="00B602F2">
        <w:rPr>
          <w:sz w:val="24"/>
          <w:szCs w:val="24"/>
        </w:rPr>
        <w:t>В том случае, если процентная ставка по депозиту (депозитному сертификату)</w:t>
      </w:r>
      <w:r w:rsidR="00E37F4F">
        <w:rPr>
          <w:sz w:val="24"/>
          <w:szCs w:val="24"/>
        </w:rPr>
        <w:t xml:space="preserve"> </w:t>
      </w:r>
      <w:r w:rsidRPr="00B602F2">
        <w:rPr>
          <w:sz w:val="24"/>
          <w:szCs w:val="24"/>
        </w:rPr>
        <w:t>в долларах США или Евро не признается рыночной, в качестве рыночной признается ставка (округление до 2 знаков после запятой):</w:t>
      </w:r>
    </w:p>
    <w:p w:rsidR="008F7813" w:rsidRPr="00207827" w:rsidRDefault="00381153"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*0,99,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*0,99</m:t>
                  </m:r>
                </m:e>
              </m:eqArr>
            </m:e>
          </m:d>
        </m:oMath>
      </m:oMathPara>
    </w:p>
    <w:p w:rsidR="008F7813" w:rsidRPr="00B602F2" w:rsidRDefault="008F7813" w:rsidP="00B602F2">
      <w:pPr>
        <w:ind w:firstLine="426"/>
        <w:jc w:val="both"/>
        <w:rPr>
          <w:sz w:val="24"/>
          <w:szCs w:val="24"/>
        </w:rPr>
      </w:pPr>
      <w:r w:rsidRPr="00207827">
        <w:rPr>
          <w:sz w:val="24"/>
          <w:szCs w:val="24"/>
        </w:rPr>
        <w:t>По итогам проведенной на дату оценки проверки процентной ставки по депозиту (депозитному сертификату)</w:t>
      </w:r>
      <w:r w:rsidR="00E37F4F">
        <w:rPr>
          <w:sz w:val="24"/>
          <w:szCs w:val="24"/>
        </w:rPr>
        <w:t xml:space="preserve"> </w:t>
      </w:r>
      <w:r w:rsidRPr="00B602F2">
        <w:rPr>
          <w:sz w:val="24"/>
          <w:szCs w:val="24"/>
        </w:rPr>
        <w:t>на соответствие рыночным значениям, справедливой стоимостью депозита признается:</w:t>
      </w:r>
    </w:p>
    <w:p w:rsidR="008F7813" w:rsidRPr="00207827" w:rsidRDefault="008F7813" w:rsidP="00B602F2">
      <w:pPr>
        <w:ind w:firstLine="426"/>
        <w:jc w:val="both"/>
        <w:rPr>
          <w:sz w:val="24"/>
          <w:szCs w:val="24"/>
        </w:rPr>
      </w:pPr>
      <w:r w:rsidRPr="00B602F2">
        <w:rPr>
          <w:sz w:val="24"/>
          <w:szCs w:val="24"/>
        </w:rPr>
        <w:t xml:space="preserve">номинальная стоимость депозита с учетом начисленных на дату оценки, исходя из процентной ставки по депозиту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207827">
        <w:rPr>
          <w:sz w:val="24"/>
          <w:szCs w:val="24"/>
        </w:rPr>
        <w:t>, процентов, в случае если процентная ставка по депозиту признана рыночной;</w:t>
      </w:r>
    </w:p>
    <w:p w:rsidR="008F7813" w:rsidRPr="00207827" w:rsidRDefault="008F7813" w:rsidP="00B602F2">
      <w:pPr>
        <w:ind w:firstLine="426"/>
        <w:jc w:val="both"/>
        <w:rPr>
          <w:sz w:val="24"/>
          <w:szCs w:val="24"/>
        </w:rPr>
      </w:pPr>
      <w:r w:rsidRPr="00207827">
        <w:rPr>
          <w:sz w:val="24"/>
          <w:szCs w:val="24"/>
        </w:rPr>
        <w:t>приведенная к дате оценки стоимость оставшихся до момента погашения денежных потоков по депозиту (депозитному сертификату) (учитываются платежи процентов и основной суммы депозита</w:t>
      </w:r>
      <w:r w:rsidR="00E37F4F">
        <w:rPr>
          <w:sz w:val="24"/>
          <w:szCs w:val="24"/>
        </w:rPr>
        <w:t xml:space="preserve"> </w:t>
      </w:r>
      <w:r w:rsidRPr="00B602F2">
        <w:rPr>
          <w:sz w:val="24"/>
          <w:szCs w:val="24"/>
        </w:rPr>
        <w:t xml:space="preserve">(депозитному сертификату), рассчитанная с использованием в качестве ставки дисконтирования выбранной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oMath>
      <w:r w:rsidRPr="00207827">
        <w:rPr>
          <w:sz w:val="24"/>
          <w:szCs w:val="24"/>
        </w:rPr>
        <w:t>, в случае если процентная ставка по депозиту не признана рыночной.</w:t>
      </w:r>
    </w:p>
    <w:p w:rsidR="008F7813" w:rsidRPr="00207827" w:rsidRDefault="008F7813" w:rsidP="00B602F2">
      <w:pPr>
        <w:ind w:firstLine="426"/>
        <w:jc w:val="both"/>
        <w:rPr>
          <w:sz w:val="24"/>
          <w:szCs w:val="24"/>
        </w:rPr>
      </w:pPr>
    </w:p>
    <w:p w:rsidR="008F7813" w:rsidRPr="00B602F2" w:rsidRDefault="008F7813" w:rsidP="00B602F2">
      <w:pPr>
        <w:ind w:firstLine="426"/>
        <w:jc w:val="both"/>
        <w:rPr>
          <w:sz w:val="24"/>
          <w:szCs w:val="24"/>
        </w:rPr>
      </w:pPr>
      <w:r w:rsidRPr="00207827">
        <w:rPr>
          <w:sz w:val="24"/>
          <w:szCs w:val="24"/>
        </w:rPr>
        <w:t>В любом случае справедливая стоимость депозита (д</w:t>
      </w:r>
      <w:r w:rsidRPr="00B47CC0">
        <w:rPr>
          <w:sz w:val="24"/>
          <w:szCs w:val="24"/>
        </w:rPr>
        <w:t>епозитному сертификату)</w:t>
      </w:r>
      <w:r w:rsidR="00CA4F48">
        <w:rPr>
          <w:sz w:val="24"/>
          <w:szCs w:val="24"/>
        </w:rPr>
        <w:t xml:space="preserve"> </w:t>
      </w:r>
      <w:r w:rsidRPr="00B602F2">
        <w:rPr>
          <w:sz w:val="24"/>
          <w:szCs w:val="24"/>
        </w:rPr>
        <w:t>не может быть ниже суммы денежных средств, которые получил бы Фонд/его Управляющей компании в случае досрочного расторжения депозита на дату оценки.</w:t>
      </w:r>
    </w:p>
    <w:p w:rsidR="00D929E1" w:rsidRPr="00B602F2" w:rsidRDefault="00D929E1" w:rsidP="006D7089">
      <w:pPr>
        <w:pStyle w:val="11"/>
        <w:tabs>
          <w:tab w:val="left" w:pos="993"/>
        </w:tabs>
        <w:jc w:val="both"/>
        <w:rPr>
          <w:rFonts w:eastAsia="Batang"/>
          <w:color w:val="000000"/>
          <w:szCs w:val="24"/>
        </w:rPr>
      </w:pPr>
      <w:r w:rsidRPr="00B602F2">
        <w:rPr>
          <w:rFonts w:eastAsia="Batang"/>
          <w:b/>
          <w:color w:val="000000"/>
          <w:szCs w:val="24"/>
        </w:rPr>
        <w:t>Приведенная стоимость будущих денежных потоков рассчитывается по формуле</w:t>
      </w:r>
      <w:r w:rsidRPr="00B602F2">
        <w:rPr>
          <w:rFonts w:eastAsia="Batang"/>
          <w:color w:val="000000"/>
          <w:szCs w:val="24"/>
        </w:rPr>
        <w:t>:</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100" w:dyaOrig="690">
          <v:shape id="_x0000_i1074" type="#_x0000_t75" style="width:105.2pt;height:34.45pt" o:ole="">
            <v:imagedata r:id="rId90" o:title=""/>
          </v:shape>
          <o:OLEObject Type="Embed" ProgID="Equation.3" ShapeID="_x0000_i1074" DrawAspect="Content" ObjectID="_1617022120" r:id="rId91"/>
        </w:object>
      </w:r>
    </w:p>
    <w:p w:rsidR="00D929E1" w:rsidRPr="00207827" w:rsidRDefault="00D929E1" w:rsidP="006D7089">
      <w:pPr>
        <w:pStyle w:val="11"/>
        <w:tabs>
          <w:tab w:val="left" w:pos="993"/>
        </w:tabs>
        <w:ind w:left="0"/>
        <w:jc w:val="both"/>
        <w:rPr>
          <w:rFonts w:eastAsia="Batang"/>
          <w:color w:val="000000"/>
          <w:szCs w:val="24"/>
        </w:rPr>
      </w:pP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PV – справедливая стоимость актива (обязательства);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количество денежных потоков до даты погашения актива (обязательства),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70" w:dyaOrig="375">
          <v:shape id="_x0000_i1075" type="#_x0000_t75" style="width:13.15pt;height:18.8pt" o:ole="">
            <v:imagedata r:id="rId92" o:title=""/>
          </v:shape>
          <o:OLEObject Type="Embed" ProgID="Equation.3" ShapeID="_x0000_i1075" DrawAspect="Content" ObjectID="_1617022121" r:id="rId93"/>
        </w:object>
      </w:r>
      <w:r w:rsidRPr="00207827">
        <w:rPr>
          <w:rFonts w:eastAsia="Batang"/>
          <w:color w:val="000000"/>
          <w:szCs w:val="24"/>
        </w:rPr>
        <w:t xml:space="preserve">  - сумма n-ого денежного потока (проценты и основная сумма); </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порядковый номер денежного потока,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345" w:dyaOrig="375">
          <v:shape id="_x0000_i1076" type="#_x0000_t75" style="width:17.55pt;height:18.8pt" o:ole="">
            <v:imagedata r:id="rId94" o:title=""/>
          </v:shape>
          <o:OLEObject Type="Embed" ProgID="Equation.3" ShapeID="_x0000_i1076" DrawAspect="Content" ObjectID="_1617022122" r:id="rId95"/>
        </w:object>
      </w:r>
      <w:r w:rsidRPr="00207827">
        <w:rPr>
          <w:rFonts w:eastAsia="Batang"/>
          <w:color w:val="000000"/>
          <w:szCs w:val="24"/>
        </w:rPr>
        <w:t xml:space="preserve">  - количество дней от даты определения СЧА до даты n-ого денежного потока;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r  - ставка        дисконтирования    в   процентах   годовых,</w:t>
      </w:r>
      <w:r w:rsidR="003D50D8">
        <w:rPr>
          <w:rFonts w:eastAsia="Batang"/>
          <w:color w:val="000000"/>
          <w:szCs w:val="24"/>
        </w:rPr>
        <w:t xml:space="preserve">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sidRPr="00207827">
        <w:rPr>
          <w:rFonts w:eastAsia="Batang"/>
          <w:color w:val="000000"/>
          <w:szCs w:val="24"/>
        </w:rPr>
        <w:t>.</w:t>
      </w:r>
    </w:p>
    <w:p w:rsidR="00D929E1" w:rsidRPr="00B602F2" w:rsidRDefault="00D929E1" w:rsidP="006D7089">
      <w:pPr>
        <w:pStyle w:val="11"/>
        <w:tabs>
          <w:tab w:val="left" w:pos="993"/>
        </w:tabs>
        <w:ind w:left="0"/>
        <w:jc w:val="both"/>
        <w:rPr>
          <w:rFonts w:eastAsia="Batang"/>
          <w:color w:val="000000"/>
          <w:szCs w:val="24"/>
        </w:rPr>
      </w:pPr>
      <w:r w:rsidRPr="00207827">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w:t>
      </w:r>
      <w:r w:rsidRPr="00B602F2">
        <w:rPr>
          <w:rFonts w:eastAsia="Batang"/>
          <w:color w:val="000000"/>
          <w:szCs w:val="24"/>
        </w:rPr>
        <w:t xml:space="preserve"> n-ого периода (за исключением случаев досрочного погашения основного долга).</w:t>
      </w:r>
    </w:p>
    <w:p w:rsidR="00D929E1" w:rsidRPr="00B602F2" w:rsidRDefault="00D929E1" w:rsidP="006D7089">
      <w:pPr>
        <w:pStyle w:val="11"/>
        <w:tabs>
          <w:tab w:val="left" w:pos="993"/>
        </w:tabs>
        <w:jc w:val="both"/>
        <w:rPr>
          <w:rFonts w:eastAsia="Batang"/>
          <w:color w:val="000000"/>
          <w:szCs w:val="24"/>
        </w:rPr>
      </w:pPr>
      <w:r w:rsidRPr="00B602F2">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D929E1" w:rsidP="006D7089">
      <w:pPr>
        <w:pStyle w:val="11"/>
        <w:tabs>
          <w:tab w:val="left" w:pos="993"/>
        </w:tabs>
        <w:ind w:left="0"/>
        <w:jc w:val="both"/>
        <w:rPr>
          <w:rFonts w:eastAsia="Batang"/>
          <w:color w:val="000000"/>
          <w:szCs w:val="24"/>
        </w:rPr>
      </w:pPr>
      <w:r w:rsidRPr="00B602F2">
        <w:rPr>
          <w:rFonts w:eastAsia="Batang"/>
          <w:b/>
          <w:color w:val="000000"/>
          <w:szCs w:val="24"/>
        </w:rPr>
        <w:t xml:space="preserve"> </w:t>
      </w:r>
    </w:p>
    <w:p w:rsidR="002702DA" w:rsidRPr="00B602F2" w:rsidRDefault="002702DA" w:rsidP="006D7089">
      <w:pPr>
        <w:tabs>
          <w:tab w:val="left" w:pos="567"/>
        </w:tabs>
        <w:ind w:left="284"/>
        <w:contextualSpacing/>
        <w:jc w:val="both"/>
        <w:rPr>
          <w:rFonts w:eastAsia="Batang"/>
          <w:color w:val="000000"/>
          <w:sz w:val="24"/>
          <w:szCs w:val="24"/>
        </w:rPr>
      </w:pPr>
      <w:r w:rsidRPr="00B602F2">
        <w:rPr>
          <w:sz w:val="24"/>
          <w:szCs w:val="24"/>
        </w:rPr>
        <w:t xml:space="preserve">В случае введения </w:t>
      </w:r>
      <w:r w:rsidR="00054374" w:rsidRPr="00B602F2">
        <w:rPr>
          <w:sz w:val="24"/>
          <w:szCs w:val="24"/>
        </w:rPr>
        <w:t>запрета на осуществление кредитной организацией банковских операций,</w:t>
      </w:r>
      <w:r w:rsidR="00A21BF9" w:rsidRPr="00B602F2">
        <w:rPr>
          <w:sz w:val="24"/>
          <w:szCs w:val="24"/>
        </w:rPr>
        <w:t xml:space="preserve"> </w:t>
      </w:r>
      <w:r w:rsidR="00054374" w:rsidRPr="00B602F2">
        <w:rPr>
          <w:sz w:val="24"/>
          <w:szCs w:val="24"/>
        </w:rPr>
        <w:t>приостановление деятельности</w:t>
      </w:r>
      <w:r w:rsidR="00A21BF9" w:rsidRPr="00B602F2">
        <w:rPr>
          <w:sz w:val="24"/>
          <w:szCs w:val="24"/>
        </w:rPr>
        <w:t xml:space="preserve">  либо </w:t>
      </w:r>
      <w:r w:rsidR="00054374" w:rsidRPr="00B602F2">
        <w:rPr>
          <w:sz w:val="24"/>
          <w:szCs w:val="24"/>
        </w:rPr>
        <w:t>назначение</w:t>
      </w:r>
      <w:r w:rsidR="00A21BF9" w:rsidRPr="00B602F2">
        <w:rPr>
          <w:sz w:val="24"/>
          <w:szCs w:val="24"/>
        </w:rPr>
        <w:t xml:space="preserve"> временной администрации</w:t>
      </w:r>
      <w:r w:rsidR="00054374" w:rsidRPr="00B602F2">
        <w:rPr>
          <w:sz w:val="24"/>
          <w:szCs w:val="24"/>
        </w:rPr>
        <w:t xml:space="preserve"> по управлению кредитной организацией </w:t>
      </w:r>
      <w:r w:rsidRPr="00B602F2">
        <w:rPr>
          <w:sz w:val="24"/>
          <w:szCs w:val="24"/>
        </w:rPr>
        <w:t xml:space="preserve"> к справ</w:t>
      </w:r>
      <w:r w:rsidR="00A21BF9" w:rsidRPr="00B602F2">
        <w:rPr>
          <w:sz w:val="24"/>
          <w:szCs w:val="24"/>
        </w:rPr>
        <w:t>едливой стоимости депозита применяется дисконт.</w:t>
      </w:r>
    </w:p>
    <w:p w:rsidR="002702DA" w:rsidRPr="00B602F2" w:rsidRDefault="002702DA" w:rsidP="006D7089">
      <w:pPr>
        <w:tabs>
          <w:tab w:val="left" w:pos="567"/>
        </w:tabs>
        <w:ind w:left="284"/>
        <w:contextualSpacing/>
        <w:jc w:val="both"/>
        <w:rPr>
          <w:rFonts w:eastAsia="Batang"/>
          <w:color w:val="000000"/>
          <w:sz w:val="24"/>
          <w:szCs w:val="24"/>
        </w:rPr>
      </w:pPr>
    </w:p>
    <w:tbl>
      <w:tblPr>
        <w:tblW w:w="0" w:type="auto"/>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25"/>
      </w:tblGrid>
      <w:tr w:rsidR="00054374" w:rsidRPr="00B602F2" w:rsidTr="008E1CA2">
        <w:tc>
          <w:tcPr>
            <w:tcW w:w="8836" w:type="dxa"/>
            <w:shd w:val="clear" w:color="auto" w:fill="auto"/>
          </w:tcPr>
          <w:tbl>
            <w:tblPr>
              <w:tblW w:w="8770" w:type="dxa"/>
              <w:tblInd w:w="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250"/>
              <w:gridCol w:w="3466"/>
              <w:gridCol w:w="3054"/>
            </w:tblGrid>
            <w:tr w:rsidR="00054374" w:rsidRPr="00B602F2" w:rsidTr="008E1CA2">
              <w:tc>
                <w:tcPr>
                  <w:tcW w:w="2250"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Коэффициент обесценения</w:t>
                  </w:r>
                </w:p>
              </w:tc>
              <w:tc>
                <w:tcPr>
                  <w:tcW w:w="3466" w:type="dxa"/>
                  <w:shd w:val="clear" w:color="auto" w:fill="A6A6A6"/>
                  <w:hideMark/>
                </w:tcPr>
                <w:p w:rsidR="00054374" w:rsidRPr="00B602F2" w:rsidRDefault="00F56AB5" w:rsidP="006D7089">
                  <w:pPr>
                    <w:contextualSpacing/>
                    <w:jc w:val="both"/>
                    <w:rPr>
                      <w:rFonts w:eastAsia="Calibri"/>
                      <w:sz w:val="24"/>
                      <w:szCs w:val="24"/>
                      <w:lang w:eastAsia="en-US"/>
                    </w:rPr>
                  </w:pPr>
                  <w:r w:rsidRPr="00B602F2">
                    <w:rPr>
                      <w:rFonts w:eastAsia="Calibri"/>
                      <w:sz w:val="24"/>
                      <w:szCs w:val="24"/>
                      <w:lang w:eastAsia="en-US"/>
                    </w:rPr>
                    <w:t>Кол-во дней применения надзорных мер Банком России</w:t>
                  </w:r>
                </w:p>
              </w:tc>
              <w:tc>
                <w:tcPr>
                  <w:tcW w:w="3054"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Период применения коэффициента </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100 %</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до 90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 по 90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70%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от 91 до 180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с 91 по 180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50%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r>
            <w:tr w:rsidR="00054374" w:rsidRPr="00B602F2" w:rsidTr="008E1CA2">
              <w:trPr>
                <w:trHeight w:val="335"/>
              </w:trPr>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r>
          </w:tbl>
          <w:p w:rsidR="00054374" w:rsidRPr="00B602F2" w:rsidRDefault="00054374" w:rsidP="006D7089">
            <w:pPr>
              <w:contextualSpacing/>
              <w:jc w:val="both"/>
              <w:rPr>
                <w:rFonts w:eastAsia="Calibri"/>
                <w:sz w:val="24"/>
                <w:szCs w:val="24"/>
                <w:lang w:eastAsia="en-US"/>
              </w:rPr>
            </w:pPr>
          </w:p>
        </w:tc>
      </w:tr>
    </w:tbl>
    <w:p w:rsidR="00054374" w:rsidRPr="00B602F2" w:rsidRDefault="00054374" w:rsidP="006D7089">
      <w:pPr>
        <w:tabs>
          <w:tab w:val="left" w:pos="567"/>
        </w:tabs>
        <w:ind w:left="284"/>
        <w:contextualSpacing/>
        <w:jc w:val="both"/>
        <w:rPr>
          <w:rFonts w:eastAsia="Batang"/>
          <w:color w:val="000000"/>
          <w:sz w:val="24"/>
          <w:szCs w:val="24"/>
        </w:rPr>
      </w:pPr>
    </w:p>
    <w:p w:rsidR="00D929E1" w:rsidRPr="00B602F2" w:rsidRDefault="00D929E1" w:rsidP="006D7089">
      <w:pPr>
        <w:tabs>
          <w:tab w:val="left" w:pos="567"/>
        </w:tabs>
        <w:contextualSpacing/>
        <w:jc w:val="both"/>
        <w:rPr>
          <w:rFonts w:eastAsia="Batang"/>
          <w:color w:val="000000"/>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207827" w:rsidRDefault="00E201F4" w:rsidP="006D7089">
      <w:pPr>
        <w:pStyle w:val="11"/>
        <w:tabs>
          <w:tab w:val="left" w:pos="993"/>
        </w:tabs>
        <w:ind w:left="0"/>
        <w:jc w:val="both"/>
        <w:rPr>
          <w:rFonts w:eastAsia="Batang"/>
          <w:szCs w:val="24"/>
        </w:rPr>
      </w:pPr>
      <w:r w:rsidRPr="00207827">
        <w:rPr>
          <w:rFonts w:eastAsia="Batang"/>
          <w:b/>
          <w:szCs w:val="24"/>
        </w:rPr>
        <w:t xml:space="preserve">Справедливая стоимость драгоценных металлов и </w:t>
      </w:r>
      <w:r w:rsidRPr="00B47CC0">
        <w:rPr>
          <w:b/>
          <w:bCs/>
          <w:szCs w:val="24"/>
        </w:rPr>
        <w:t>требований к кредитной ор</w:t>
      </w:r>
      <w:r w:rsidRPr="00B602F2">
        <w:rPr>
          <w:b/>
          <w:bCs/>
          <w:szCs w:val="24"/>
        </w:rPr>
        <w:t xml:space="preserve">ганизации </w:t>
      </w:r>
      <w:r w:rsidRPr="00B602F2">
        <w:rPr>
          <w:bCs/>
          <w:szCs w:val="24"/>
        </w:rPr>
        <w:t>выплатить денежный эквивалент драгоценных металлов</w:t>
      </w:r>
      <w:r w:rsidRPr="00B602F2">
        <w:rPr>
          <w:rFonts w:eastAsia="Batang"/>
          <w:szCs w:val="24"/>
        </w:rPr>
        <w:t xml:space="preserve"> определяется  по ценам </w:t>
      </w:r>
      <w:r w:rsidRPr="00B602F2">
        <w:rPr>
          <w:bCs/>
          <w:szCs w:val="24"/>
          <w:shd w:val="clear" w:color="auto" w:fill="FFFFFF"/>
        </w:rPr>
        <w:t>London Metal Exchange (</w:t>
      </w:r>
      <w:r w:rsidRPr="00B602F2">
        <w:rPr>
          <w:bCs/>
          <w:szCs w:val="24"/>
          <w:shd w:val="clear" w:color="auto" w:fill="FFFFFF"/>
          <w:lang w:val="en-US"/>
        </w:rPr>
        <w:t>LMAUDY</w:t>
      </w:r>
      <w:r w:rsidRPr="006D7089">
        <w:rPr>
          <w:bCs/>
          <w:szCs w:val="24"/>
          <w:shd w:val="clear" w:color="auto" w:fill="FFFFFF"/>
        </w:rPr>
        <w:t xml:space="preserve"> </w:t>
      </w:r>
      <w:r w:rsidRPr="00207827">
        <w:rPr>
          <w:bCs/>
          <w:szCs w:val="24"/>
          <w:shd w:val="clear" w:color="auto" w:fill="FFFFFF"/>
          <w:lang w:val="en-US"/>
        </w:rPr>
        <w:t>LME</w:t>
      </w:r>
      <w:r w:rsidRPr="006D7089">
        <w:rPr>
          <w:bCs/>
          <w:szCs w:val="24"/>
          <w:shd w:val="clear" w:color="auto" w:fill="FFFFFF"/>
        </w:rPr>
        <w:t xml:space="preserve"> </w:t>
      </w:r>
      <w:r w:rsidRPr="00207827">
        <w:rPr>
          <w:bCs/>
          <w:szCs w:val="24"/>
          <w:shd w:val="clear" w:color="auto" w:fill="FFFFFF"/>
          <w:lang w:val="en-US"/>
        </w:rPr>
        <w:t>Comdty</w:t>
      </w:r>
      <w:r w:rsidRPr="00207827">
        <w:rPr>
          <w:bCs/>
          <w:szCs w:val="24"/>
          <w:shd w:val="clear" w:color="auto" w:fill="FFFFFF"/>
        </w:rPr>
        <w:t xml:space="preserve"> для золота, </w:t>
      </w:r>
      <w:r w:rsidRPr="00207827">
        <w:rPr>
          <w:bCs/>
          <w:szCs w:val="24"/>
          <w:shd w:val="clear" w:color="auto" w:fill="FFFFFF"/>
          <w:lang w:val="en-US"/>
        </w:rPr>
        <w:t>PLDMLNPM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палладия, </w:t>
      </w:r>
      <w:r w:rsidRPr="00207827">
        <w:rPr>
          <w:bCs/>
          <w:szCs w:val="24"/>
          <w:shd w:val="clear" w:color="auto" w:fill="FFFFFF"/>
          <w:lang w:val="en-US"/>
        </w:rPr>
        <w:t>PLTMLNPM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платины, </w:t>
      </w:r>
      <w:r w:rsidRPr="00207827">
        <w:rPr>
          <w:bCs/>
          <w:szCs w:val="24"/>
          <w:shd w:val="clear" w:color="auto" w:fill="FFFFFF"/>
          <w:lang w:val="en-US"/>
        </w:rPr>
        <w:t>LMAGDY</w:t>
      </w:r>
      <w:r w:rsidRPr="006D7089">
        <w:rPr>
          <w:bCs/>
          <w:szCs w:val="24"/>
          <w:shd w:val="clear" w:color="auto" w:fill="FFFFFF"/>
        </w:rPr>
        <w:t xml:space="preserve"> </w:t>
      </w:r>
      <w:r w:rsidRPr="00207827">
        <w:rPr>
          <w:bCs/>
          <w:szCs w:val="24"/>
          <w:shd w:val="clear" w:color="auto" w:fill="FFFFFF"/>
          <w:lang w:val="en-US"/>
        </w:rPr>
        <w:t>LME</w:t>
      </w:r>
      <w:r w:rsidRPr="00207827">
        <w:rPr>
          <w:bCs/>
          <w:szCs w:val="24"/>
          <w:shd w:val="clear" w:color="auto" w:fill="FFFFFF"/>
        </w:rPr>
        <w:t xml:space="preserv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w:t>
      </w:r>
      <w:r w:rsidRPr="00B602F2">
        <w:rPr>
          <w:rFonts w:eastAsia="Batang"/>
          <w:szCs w:val="24"/>
        </w:rPr>
        <w:t xml:space="preserve">При  отсутствии доступа к London Metal Exchange  или отсутствии цены на дату определения СЧА на </w:t>
      </w:r>
      <w:r w:rsidRPr="00B602F2">
        <w:rPr>
          <w:rFonts w:eastAsia="Batang"/>
          <w:szCs w:val="24"/>
          <w:lang w:val="en-US"/>
        </w:rPr>
        <w:t>London</w:t>
      </w:r>
      <w:r w:rsidRPr="006D7089">
        <w:rPr>
          <w:rFonts w:eastAsia="Batang"/>
          <w:szCs w:val="24"/>
        </w:rPr>
        <w:t xml:space="preserve"> </w:t>
      </w:r>
      <w:r w:rsidRPr="00207827">
        <w:rPr>
          <w:rFonts w:eastAsia="Batang"/>
          <w:szCs w:val="24"/>
          <w:lang w:val="en-US"/>
        </w:rPr>
        <w:t>Metal</w:t>
      </w:r>
      <w:r w:rsidRPr="006D7089">
        <w:rPr>
          <w:rFonts w:eastAsia="Batang"/>
          <w:szCs w:val="24"/>
        </w:rPr>
        <w:t xml:space="preserve"> </w:t>
      </w:r>
      <w:r w:rsidRPr="00207827">
        <w:rPr>
          <w:rFonts w:eastAsia="Batang"/>
          <w:szCs w:val="24"/>
          <w:lang w:val="en-US"/>
        </w:rPr>
        <w:t>Exchange</w:t>
      </w:r>
      <w:r w:rsidRPr="006D7089">
        <w:rPr>
          <w:rFonts w:eastAsia="Batang"/>
          <w:szCs w:val="24"/>
        </w:rPr>
        <w:t xml:space="preserve"> </w:t>
      </w:r>
      <w:r w:rsidRPr="00207827">
        <w:rPr>
          <w:rFonts w:eastAsia="Batang"/>
          <w:szCs w:val="24"/>
        </w:rPr>
        <w:t xml:space="preserve"> справедливая стоимость драгоценных металлов и </w:t>
      </w:r>
      <w:r w:rsidRPr="00207827">
        <w:rPr>
          <w:bCs/>
          <w:szCs w:val="24"/>
        </w:rPr>
        <w:t>требований к кредитной организации выплатить денежный эквивалент драгоценных металлов</w:t>
      </w:r>
      <w:r w:rsidRPr="00207827">
        <w:rPr>
          <w:rFonts w:eastAsia="Batang"/>
          <w:szCs w:val="24"/>
        </w:rPr>
        <w:t xml:space="preserve">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B602F2" w:rsidRDefault="003A73A0" w:rsidP="006D7089">
      <w:pPr>
        <w:pStyle w:val="11"/>
        <w:tabs>
          <w:tab w:val="left" w:pos="993"/>
        </w:tabs>
        <w:ind w:left="0"/>
        <w:jc w:val="both"/>
        <w:rPr>
          <w:rFonts w:eastAsia="Batang"/>
          <w:szCs w:val="24"/>
        </w:rPr>
      </w:pPr>
      <w:r w:rsidRPr="00B602F2">
        <w:rPr>
          <w:rFonts w:eastAsia="Batang"/>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B602F2" w:rsidRDefault="003A73A0" w:rsidP="006D7089">
      <w:pPr>
        <w:pStyle w:val="11"/>
        <w:tabs>
          <w:tab w:val="left" w:pos="993"/>
        </w:tabs>
        <w:ind w:left="0"/>
        <w:jc w:val="both"/>
        <w:rPr>
          <w:szCs w:val="24"/>
        </w:rPr>
      </w:pPr>
      <w:r w:rsidRPr="00B602F2">
        <w:rPr>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6D7089">
      <w:pPr>
        <w:pStyle w:val="11"/>
        <w:tabs>
          <w:tab w:val="left" w:pos="993"/>
        </w:tabs>
        <w:ind w:left="0"/>
        <w:jc w:val="both"/>
        <w:rPr>
          <w:szCs w:val="24"/>
        </w:rPr>
      </w:pPr>
      <w:r w:rsidRPr="00B602F2">
        <w:rPr>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B123AB" w:rsidRPr="00B602F2" w:rsidRDefault="00B123AB"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           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w:t>
      </w:r>
      <w:r w:rsidRPr="00B602F2">
        <w:rPr>
          <w:rFonts w:ascii="Times New Roman" w:hAnsi="Times New Roman"/>
          <w:sz w:val="24"/>
          <w:szCs w:val="24"/>
        </w:rPr>
        <w:lastRenderedPageBreak/>
        <w:t>части всех рисков и выгод, связанных с владением ценными бумагами, признание таких ценных бумаг не происходит. 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Проценты рассчитываются равномерно исходя из срока действия сделки</w:t>
      </w:r>
      <w:r w:rsidR="00EA777F" w:rsidRPr="00E37D01">
        <w:rPr>
          <w:rFonts w:ascii="Times New Roman" w:hAnsi="Times New Roman"/>
          <w:sz w:val="24"/>
          <w:szCs w:val="24"/>
        </w:rPr>
        <w:t xml:space="preserve"> </w:t>
      </w:r>
      <w:r w:rsidR="00EA777F">
        <w:rPr>
          <w:rFonts w:ascii="Times New Roman" w:hAnsi="Times New Roman"/>
          <w:sz w:val="24"/>
          <w:szCs w:val="24"/>
        </w:rPr>
        <w:t>по ставке, предусмотренной условиями сделки, если такая ставка соответствует рыночной</w:t>
      </w:r>
      <w:r w:rsidRPr="00B602F2">
        <w:rPr>
          <w:rFonts w:ascii="Times New Roman" w:hAnsi="Times New Roman"/>
          <w:sz w:val="24"/>
          <w:szCs w:val="24"/>
        </w:rPr>
        <w:t xml:space="preserve">. </w:t>
      </w:r>
    </w:p>
    <w:p w:rsidR="00C034EB" w:rsidRPr="00B602F2" w:rsidRDefault="00C034EB" w:rsidP="006D7089">
      <w:pPr>
        <w:contextualSpacing/>
        <w:jc w:val="both"/>
        <w:rPr>
          <w:color w:val="000000"/>
          <w:sz w:val="24"/>
          <w:szCs w:val="24"/>
        </w:rPr>
      </w:pPr>
      <w:r w:rsidRPr="00B602F2">
        <w:rPr>
          <w:color w:val="000000"/>
          <w:sz w:val="24"/>
          <w:szCs w:val="24"/>
        </w:rPr>
        <w:t>Для оценки задолженности по операциям обратного РЕПО и задолженности Фонда по операциям прямого РЕПО в качестве рыночной ставки применяется ключевая ставка Банка России на дату первой части сделки РЕПО.</w:t>
      </w:r>
    </w:p>
    <w:p w:rsidR="003C3866" w:rsidRPr="00B602F2" w:rsidRDefault="003C3866" w:rsidP="006D7089">
      <w:pPr>
        <w:contextualSpacing/>
        <w:jc w:val="both"/>
        <w:rPr>
          <w:rFonts w:eastAsia="Calibri"/>
          <w:sz w:val="24"/>
          <w:szCs w:val="24"/>
          <w:lang w:eastAsia="en-US"/>
        </w:rPr>
      </w:pPr>
      <w:r w:rsidRPr="00B602F2">
        <w:rPr>
          <w:rFonts w:eastAsia="Calibri"/>
          <w:sz w:val="24"/>
          <w:szCs w:val="24"/>
          <w:lang w:eastAsia="en-US"/>
        </w:rPr>
        <w:t>Ставка по РЕПО признается рыночной, если соблюдается условие:</w:t>
      </w:r>
    </w:p>
    <w:p w:rsidR="003C3866" w:rsidRPr="00B602F2" w:rsidRDefault="003C3866" w:rsidP="006D7089">
      <w:pPr>
        <w:contextualSpacing/>
        <w:jc w:val="both"/>
        <w:rPr>
          <w:rFonts w:eastAsia="Calibri"/>
          <w:sz w:val="24"/>
          <w:szCs w:val="24"/>
          <w:lang w:eastAsia="en-US"/>
        </w:rPr>
      </w:pPr>
    </w:p>
    <w:p w:rsidR="003C3866" w:rsidRPr="006D7089" w:rsidRDefault="008D2A32" w:rsidP="00207827">
      <w:pPr>
        <w:spacing w:before="120"/>
        <w:ind w:firstLine="426"/>
        <w:jc w:val="center"/>
        <w:rPr>
          <w:sz w:val="24"/>
          <w:szCs w:val="24"/>
        </w:rPr>
      </w:pPr>
      <m:oMathPara>
        <m:oMath>
          <m:r>
            <w:rPr>
              <w:rFonts w:ascii="Cambria Math" w:hAnsi="Cambria Math"/>
              <w:sz w:val="24"/>
              <w:szCs w:val="24"/>
            </w:rPr>
            <m:t>К*0,9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репо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m:t>
              </m:r>
            </m:sub>
          </m:sSub>
          <m:r>
            <w:rPr>
              <w:rFonts w:ascii="Cambria Math" w:hAnsi="Cambria Math"/>
              <w:sz w:val="24"/>
              <w:szCs w:val="24"/>
            </w:rPr>
            <m:t>*1.1</m:t>
          </m:r>
        </m:oMath>
      </m:oMathPara>
    </w:p>
    <w:p w:rsidR="003C3866" w:rsidRPr="00207827" w:rsidRDefault="003C3866" w:rsidP="006D7089">
      <w:pPr>
        <w:contextualSpacing/>
        <w:jc w:val="both"/>
        <w:rPr>
          <w:rFonts w:eastAsia="Calibri"/>
          <w:sz w:val="24"/>
          <w:szCs w:val="24"/>
          <w:lang w:eastAsia="en-US"/>
        </w:rPr>
      </w:pPr>
    </w:p>
    <w:p w:rsidR="003C3866" w:rsidRPr="007F610B" w:rsidRDefault="003C3866" w:rsidP="006D7089">
      <w:pPr>
        <w:contextualSpacing/>
        <w:jc w:val="both"/>
        <w:rPr>
          <w:rFonts w:eastAsia="Calibri"/>
          <w:sz w:val="24"/>
          <w:szCs w:val="24"/>
          <w:lang w:eastAsia="en-US"/>
        </w:rPr>
      </w:pPr>
    </w:p>
    <w:p w:rsidR="003C3866" w:rsidRDefault="003C3866" w:rsidP="00207827">
      <w:pPr>
        <w:ind w:firstLine="426"/>
        <w:rPr>
          <w:sz w:val="24"/>
          <w:szCs w:val="24"/>
        </w:rPr>
      </w:pPr>
      <w:r w:rsidRPr="00207827">
        <w:rPr>
          <w:sz w:val="24"/>
          <w:szCs w:val="24"/>
        </w:rPr>
        <w:t>К</w:t>
      </w:r>
      <w:r w:rsidR="00B93515">
        <w:rPr>
          <w:sz w:val="24"/>
          <w:szCs w:val="24"/>
        </w:rPr>
        <w:t xml:space="preserve"> </w:t>
      </w:r>
      <w:r w:rsidRPr="00207827">
        <w:rPr>
          <w:sz w:val="24"/>
          <w:szCs w:val="24"/>
        </w:rPr>
        <w:t>-</w:t>
      </w:r>
      <w:r w:rsidR="00B93515">
        <w:rPr>
          <w:sz w:val="24"/>
          <w:szCs w:val="24"/>
        </w:rPr>
        <w:t xml:space="preserve"> </w:t>
      </w:r>
      <w:r w:rsidRPr="00207827">
        <w:rPr>
          <w:sz w:val="24"/>
          <w:szCs w:val="24"/>
        </w:rPr>
        <w:t>ключевая ставка ЦБ РФ, установленная на дату оценки</w:t>
      </w:r>
    </w:p>
    <w:p w:rsidR="00EA777F" w:rsidRPr="00207827" w:rsidRDefault="00CA4F48" w:rsidP="00E37D01">
      <w:pPr>
        <w:ind w:firstLine="426"/>
        <w:jc w:val="both"/>
        <w:rPr>
          <w:sz w:val="24"/>
          <w:szCs w:val="24"/>
        </w:rPr>
      </w:pPr>
      <w:r>
        <w:rPr>
          <w:sz w:val="24"/>
          <w:szCs w:val="24"/>
        </w:rPr>
        <w:t>Если ставка признается не рыночной, справедливая стоимость дебиторской задолженности оценивается в сумме, определенной с использованием метода приведенной стоимости будущих денежных потоков (</w:t>
      </w:r>
      <w:r w:rsidR="009254A7">
        <w:rPr>
          <w:sz w:val="24"/>
          <w:szCs w:val="24"/>
        </w:rPr>
        <w:t xml:space="preserve">см. </w:t>
      </w:r>
      <w:r w:rsidR="009254A7" w:rsidRPr="00AD1AF7">
        <w:rPr>
          <w:sz w:val="24"/>
          <w:szCs w:val="24"/>
        </w:rPr>
        <w:t>Определение справедливой стоимости депозитов и депозитных сертификатов).</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lastRenderedPageBreak/>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lastRenderedPageBreak/>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B602F2"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Справедливая стоимость дебиторской задолженности, возникшей в результате совершения сделок с имуществом Фонда</w:t>
      </w:r>
      <w:r w:rsidR="0090015B" w:rsidRPr="00B602F2">
        <w:rPr>
          <w:rFonts w:eastAsia="Calibri"/>
          <w:sz w:val="24"/>
          <w:szCs w:val="24"/>
          <w:lang w:eastAsia="en-US"/>
        </w:rPr>
        <w:t>,</w:t>
      </w:r>
      <w:r w:rsidR="004567F2" w:rsidRPr="00B602F2">
        <w:rPr>
          <w:rFonts w:eastAsia="Calibri"/>
          <w:sz w:val="24"/>
          <w:szCs w:val="24"/>
          <w:lang w:eastAsia="en-US"/>
        </w:rPr>
        <w:t xml:space="preserve"> за исключением сделок, совершаемых на стандартных условиях</w:t>
      </w:r>
      <w:r w:rsidRPr="00B602F2">
        <w:rPr>
          <w:rFonts w:eastAsia="Calibri"/>
          <w:sz w:val="24"/>
          <w:szCs w:val="24"/>
          <w:lang w:eastAsia="en-US"/>
        </w:rPr>
        <w:t>, до наступления срока ее полного погашения, установленного условиями договора, определяется в следующем порядке:</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1. </w:t>
      </w:r>
      <w:r w:rsidR="00524AFE" w:rsidRPr="00B602F2">
        <w:rPr>
          <w:rFonts w:eastAsia="Calibri"/>
          <w:sz w:val="24"/>
          <w:szCs w:val="24"/>
          <w:lang w:eastAsia="en-US"/>
        </w:rPr>
        <w:t>если договором предусмотрено полное погашение задолженности в течение одного года с момента ее признания, справедливая стоимость такой дебиторской задолженности до наступления срока погашения признается равной ее остатку на дату оценки.</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2. </w:t>
      </w:r>
      <w:r w:rsidR="00524AFE" w:rsidRPr="00B602F2">
        <w:rPr>
          <w:rFonts w:eastAsia="Calibri"/>
          <w:sz w:val="24"/>
          <w:szCs w:val="24"/>
          <w:lang w:eastAsia="en-US"/>
        </w:rPr>
        <w:t>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 равной рыночной ставке на дату первоначального признания</w:t>
      </w:r>
      <w:r w:rsidR="00FA386D" w:rsidRPr="00B602F2">
        <w:rPr>
          <w:rFonts w:eastAsia="Calibri"/>
          <w:sz w:val="24"/>
          <w:szCs w:val="24"/>
          <w:lang w:eastAsia="en-US"/>
        </w:rPr>
        <w:t>, определяемая в соответствии части  «</w:t>
      </w:r>
      <w:r w:rsidR="003539B4" w:rsidRPr="00B602F2">
        <w:rPr>
          <w:rFonts w:eastAsia="Calibri"/>
          <w:sz w:val="24"/>
          <w:szCs w:val="24"/>
          <w:lang w:eastAsia="en-US"/>
        </w:rPr>
        <w:t>Депозиты и депозитные сертификаты</w:t>
      </w:r>
      <w:r w:rsidR="00FA386D" w:rsidRPr="00B602F2">
        <w:rPr>
          <w:rFonts w:eastAsia="Calibri"/>
          <w:sz w:val="24"/>
          <w:szCs w:val="24"/>
          <w:lang w:eastAsia="en-US"/>
        </w:rPr>
        <w:t>»</w:t>
      </w:r>
      <w:r w:rsidR="00E75118" w:rsidRPr="00B602F2">
        <w:rPr>
          <w:rFonts w:eastAsia="Calibri"/>
          <w:sz w:val="24"/>
          <w:szCs w:val="24"/>
          <w:lang w:eastAsia="en-US"/>
        </w:rPr>
        <w:t>.</w:t>
      </w:r>
    </w:p>
    <w:p w:rsidR="00850462" w:rsidRPr="00B602F2" w:rsidRDefault="00850462" w:rsidP="006D7089">
      <w:pPr>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Авансы, выданные за счет имущества Фонда, включаются в расчет стоимости чистых активов  в размере их остатка на дату расчета стоимости чистых активов.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Дебиторская задолженность по налогам, сборам, пошлинам в бюджеты всех уровней, включаются в расчет стоимости чистых активов в размере остатков такой задолженности на дату расчета стоимости чистых активов.</w:t>
      </w:r>
    </w:p>
    <w:p w:rsidR="0084076D" w:rsidRPr="00B602F2" w:rsidRDefault="0084076D" w:rsidP="006D7089">
      <w:pPr>
        <w:contextualSpacing/>
        <w:jc w:val="both"/>
        <w:rPr>
          <w:rFonts w:eastAsia="Calibri"/>
          <w:sz w:val="24"/>
          <w:szCs w:val="24"/>
          <w:lang w:eastAsia="en-US"/>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B602F2"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lastRenderedPageBreak/>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524AFE" w:rsidP="006D7089">
      <w:pPr>
        <w:jc w:val="both"/>
        <w:rPr>
          <w:sz w:val="24"/>
          <w:szCs w:val="24"/>
        </w:rPr>
      </w:pPr>
      <w:r w:rsidRPr="00B602F2">
        <w:rPr>
          <w:sz w:val="24"/>
          <w:szCs w:val="24"/>
        </w:rPr>
        <w:t>Признается в размере ее остатка на дату определения стоимости чистых активов. Не дисконтируется.</w:t>
      </w:r>
    </w:p>
    <w:p w:rsidR="004242B6" w:rsidRPr="00B602F2" w:rsidRDefault="004242B6" w:rsidP="006D7089">
      <w:pPr>
        <w:rPr>
          <w:sz w:val="24"/>
          <w:szCs w:val="24"/>
        </w:rPr>
      </w:pPr>
    </w:p>
    <w:p w:rsidR="004242B6" w:rsidRPr="00207827" w:rsidRDefault="004242B6" w:rsidP="007F610B">
      <w:pPr>
        <w:contextualSpacing/>
        <w:jc w:val="both"/>
        <w:rPr>
          <w:rFonts w:eastAsia="Calibri"/>
          <w:b/>
          <w:sz w:val="24"/>
          <w:szCs w:val="24"/>
          <w:lang w:eastAsia="en-US"/>
        </w:rPr>
      </w:pPr>
      <w:r w:rsidRPr="00207827">
        <w:rPr>
          <w:rFonts w:eastAsia="Calibri"/>
          <w:b/>
          <w:sz w:val="24"/>
          <w:szCs w:val="24"/>
          <w:lang w:eastAsia="en-US"/>
        </w:rPr>
        <w:t>Справедливая стоимость актива при возникновении события, ведущего к обесценению</w:t>
      </w:r>
      <w:r w:rsidR="00547F91">
        <w:rPr>
          <w:rFonts w:eastAsia="Calibri"/>
          <w:b/>
          <w:sz w:val="24"/>
          <w:szCs w:val="24"/>
          <w:lang w:eastAsia="en-US"/>
        </w:rPr>
        <w:t>.</w:t>
      </w:r>
    </w:p>
    <w:p w:rsidR="00992280" w:rsidRPr="00207827" w:rsidRDefault="00992280" w:rsidP="006D7089">
      <w:pPr>
        <w:contextualSpacing/>
        <w:jc w:val="both"/>
        <w:rPr>
          <w:rFonts w:eastAsia="Calibri"/>
          <w:sz w:val="24"/>
          <w:szCs w:val="24"/>
          <w:lang w:eastAsia="en-US"/>
        </w:rPr>
      </w:pPr>
    </w:p>
    <w:p w:rsidR="003F3810" w:rsidRPr="00207827" w:rsidRDefault="00992280" w:rsidP="00207827">
      <w:pPr>
        <w:spacing w:line="276" w:lineRule="auto"/>
        <w:contextualSpacing/>
        <w:jc w:val="both"/>
        <w:rPr>
          <w:rFonts w:eastAsia="Calibri"/>
          <w:sz w:val="24"/>
          <w:szCs w:val="24"/>
          <w:lang w:eastAsia="en-US"/>
        </w:rPr>
      </w:pPr>
      <w:r w:rsidRPr="00B602F2">
        <w:rPr>
          <w:rFonts w:eastAsia="Calibri"/>
          <w:sz w:val="24"/>
          <w:szCs w:val="24"/>
          <w:lang w:eastAsia="en-US"/>
        </w:rPr>
        <w:t xml:space="preserve">В случае допущения контрагентом просрочки по оплате дебиторской задолженности </w:t>
      </w:r>
      <w:r w:rsidR="00C034EB" w:rsidRPr="00B602F2">
        <w:rPr>
          <w:rFonts w:eastAsia="Calibri"/>
          <w:sz w:val="24"/>
          <w:szCs w:val="24"/>
          <w:lang w:eastAsia="en-US"/>
        </w:rPr>
        <w:t>(за исключением выплат по купонно</w:t>
      </w:r>
      <w:r w:rsidR="00750218">
        <w:rPr>
          <w:rFonts w:eastAsia="Calibri"/>
          <w:sz w:val="24"/>
          <w:szCs w:val="24"/>
          <w:lang w:eastAsia="en-US"/>
        </w:rPr>
        <w:t>му</w:t>
      </w:r>
      <w:r w:rsidR="00C034EB" w:rsidRPr="00B602F2">
        <w:rPr>
          <w:rFonts w:eastAsia="Calibri"/>
          <w:sz w:val="24"/>
          <w:szCs w:val="24"/>
          <w:lang w:eastAsia="en-US"/>
        </w:rPr>
        <w:t xml:space="preserve"> доходу и частичному/полному погашению основного долга по долговым ценным бумагам</w:t>
      </w:r>
      <w:r w:rsidR="00EF12B7" w:rsidRPr="00B602F2">
        <w:rPr>
          <w:rFonts w:eastAsia="Calibri"/>
          <w:sz w:val="24"/>
          <w:szCs w:val="24"/>
          <w:lang w:eastAsia="en-US"/>
        </w:rPr>
        <w:t xml:space="preserve">, </w:t>
      </w:r>
      <w:r w:rsidR="00C034EB" w:rsidRPr="00B602F2">
        <w:rPr>
          <w:rFonts w:eastAsia="Calibri"/>
          <w:sz w:val="24"/>
          <w:szCs w:val="24"/>
          <w:lang w:eastAsia="en-US"/>
        </w:rPr>
        <w:t>дивидендов</w:t>
      </w:r>
      <w:r w:rsidR="00EF12B7" w:rsidRPr="00B602F2">
        <w:rPr>
          <w:rFonts w:eastAsia="Calibri"/>
          <w:sz w:val="24"/>
          <w:szCs w:val="24"/>
          <w:lang w:eastAsia="en-US"/>
        </w:rPr>
        <w:t xml:space="preserve"> и доходов по ПИФ</w:t>
      </w:r>
      <w:r w:rsidR="00C034EB" w:rsidRPr="00B602F2">
        <w:rPr>
          <w:rFonts w:eastAsia="Calibri"/>
          <w:sz w:val="24"/>
          <w:szCs w:val="24"/>
          <w:lang w:eastAsia="en-US"/>
        </w:rPr>
        <w:t>)</w:t>
      </w:r>
      <w:r w:rsidR="003F3810">
        <w:rPr>
          <w:rFonts w:eastAsia="Calibri"/>
          <w:sz w:val="24"/>
          <w:szCs w:val="24"/>
          <w:lang w:eastAsia="en-US"/>
        </w:rPr>
        <w:t xml:space="preserve"> справедливая стоимость на дату оценки такой задолженности будет определяться исходя из </w:t>
      </w:r>
      <w:r w:rsidR="00C034EB" w:rsidRPr="00B602F2">
        <w:rPr>
          <w:rFonts w:eastAsia="Calibri"/>
          <w:sz w:val="24"/>
          <w:szCs w:val="24"/>
          <w:lang w:eastAsia="en-US"/>
        </w:rPr>
        <w:t xml:space="preserve"> </w:t>
      </w:r>
      <w:r w:rsidR="003F3810">
        <w:rPr>
          <w:rFonts w:eastAsia="Calibri"/>
          <w:sz w:val="24"/>
          <w:szCs w:val="24"/>
          <w:lang w:eastAsia="en-US"/>
        </w:rPr>
        <w:t>ее текущего размера, скорректированного на коэффициент кредитного качества.</w:t>
      </w:r>
      <w:r w:rsidRPr="00B602F2">
        <w:rPr>
          <w:rFonts w:eastAsia="Calibri"/>
          <w:sz w:val="24"/>
          <w:szCs w:val="24"/>
          <w:lang w:eastAsia="en-US"/>
        </w:rPr>
        <w:t xml:space="preserve"> </w:t>
      </w:r>
    </w:p>
    <w:p w:rsidR="00074819" w:rsidRDefault="00074819" w:rsidP="00074819">
      <w:pPr>
        <w:spacing w:before="360" w:after="120"/>
        <w:ind w:firstLine="567"/>
        <w:contextualSpacing/>
        <w:jc w:val="both"/>
        <w:rPr>
          <w:sz w:val="24"/>
          <w:szCs w:val="24"/>
        </w:rPr>
      </w:pPr>
      <w:r>
        <w:rPr>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sz w:val="24"/>
          <w:szCs w:val="24"/>
        </w:rPr>
        <w:t xml:space="preserve"> определяется следующим образом:</w:t>
      </w:r>
    </w:p>
    <w:p w:rsidR="00074819" w:rsidRPr="00241C31"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 депозитов (юридические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sidRPr="00EF00D0">
        <w:rPr>
          <w:sz w:val="24"/>
          <w:szCs w:val="24"/>
        </w:rPr>
        <w:t xml:space="preserve">а) </w:t>
      </w:r>
      <w:r>
        <w:rPr>
          <w:sz w:val="24"/>
          <w:szCs w:val="24"/>
        </w:rPr>
        <w:t>При отсутствии просрочки, а также е</w:t>
      </w:r>
      <w:r w:rsidRPr="00EF00D0">
        <w:rPr>
          <w:sz w:val="24"/>
          <w:szCs w:val="24"/>
        </w:rPr>
        <w:t xml:space="preserve">сли просрочка платежа составляет не более 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Pr>
          <w:sz w:val="24"/>
          <w:szCs w:val="24"/>
        </w:rPr>
        <w:t>.</w:t>
      </w:r>
      <w:r w:rsidRPr="00EF00D0">
        <w:rPr>
          <w:sz w:val="24"/>
          <w:szCs w:val="24"/>
        </w:rPr>
        <w:t xml:space="preserve"> В этом случае расчет производится по следующей формуле:</w:t>
      </w:r>
    </w:p>
    <w:p w:rsidR="00074819" w:rsidRPr="00D41A1C" w:rsidRDefault="00381153" w:rsidP="00074819">
      <w:pPr>
        <w:pStyle w:val="a3"/>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(1</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rPr>
          <m:t xml:space="preserve">PD </m:t>
        </m:r>
      </m:oMath>
      <w:r w:rsidRPr="00EF00D0">
        <w:rPr>
          <w:sz w:val="24"/>
          <w:szCs w:val="24"/>
        </w:rPr>
        <w:t>– годовая вероятность дефолта</w:t>
      </w:r>
      <w:r>
        <w:rPr>
          <w:sz w:val="24"/>
          <w:szCs w:val="24"/>
        </w:rPr>
        <w:t>;</w:t>
      </w:r>
      <w:r w:rsidRPr="00EF00D0">
        <w:rPr>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1"/>
      </w:r>
      <w:r>
        <w:rPr>
          <w:sz w:val="24"/>
          <w:szCs w:val="24"/>
        </w:rPr>
        <w:t>.</w:t>
      </w:r>
    </w:p>
    <w:p w:rsidR="00074819" w:rsidRPr="00EF10DE" w:rsidRDefault="00074819" w:rsidP="00074819">
      <w:pPr>
        <w:spacing w:before="120" w:after="120"/>
        <w:contextualSpacing/>
        <w:jc w:val="both"/>
        <w:rPr>
          <w:sz w:val="24"/>
          <w:szCs w:val="24"/>
        </w:rPr>
      </w:pPr>
      <w:r>
        <w:rPr>
          <w:sz w:val="24"/>
          <w:szCs w:val="24"/>
        </w:rPr>
        <w:lastRenderedPageBreak/>
        <w:t xml:space="preserve">б) </w:t>
      </w:r>
      <w:r w:rsidRPr="00EF10DE">
        <w:rPr>
          <w:sz w:val="24"/>
          <w:szCs w:val="24"/>
        </w:rPr>
        <w:t xml:space="preserve">В случае реализации кредитного риска, а именно, если просрочка платежа составляет </w:t>
      </w:r>
      <w:r>
        <w:rPr>
          <w:sz w:val="24"/>
          <w:szCs w:val="24"/>
        </w:rPr>
        <w:t>более</w:t>
      </w:r>
      <w:r w:rsidRPr="00EF10DE">
        <w:rPr>
          <w:sz w:val="24"/>
          <w:szCs w:val="24"/>
        </w:rPr>
        <w:t xml:space="preserve"> </w:t>
      </w:r>
      <w:r w:rsidRPr="00EF00D0">
        <w:rPr>
          <w:sz w:val="24"/>
          <w:szCs w:val="24"/>
        </w:rPr>
        <w:t xml:space="preserve">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sidRPr="00EF10DE">
        <w:rPr>
          <w:sz w:val="24"/>
          <w:szCs w:val="24"/>
        </w:rPr>
        <w:t xml:space="preserve">, </w:t>
      </w:r>
      <w:r w:rsidRPr="002876FC">
        <w:rPr>
          <w:sz w:val="24"/>
          <w:szCs w:val="24"/>
        </w:rPr>
        <w:t>, а также при наличии информации о процедуре банкротства контрагента</w:t>
      </w:r>
      <w:r>
        <w:rPr>
          <w:sz w:val="24"/>
          <w:szCs w:val="24"/>
        </w:rPr>
        <w:t>,</w:t>
      </w:r>
      <w:r w:rsidRPr="002876FC">
        <w:rPr>
          <w:sz w:val="24"/>
          <w:szCs w:val="24"/>
        </w:rPr>
        <w:t xml:space="preserve"> </w:t>
      </w:r>
      <w:r w:rsidRPr="00EF10DE">
        <w:rPr>
          <w:sz w:val="24"/>
          <w:szCs w:val="24"/>
        </w:rPr>
        <w:t>расчет производится по следующей формуле:</w:t>
      </w:r>
    </w:p>
    <w:p w:rsidR="00074819" w:rsidRDefault="00381153" w:rsidP="00074819">
      <w:pPr>
        <w:contextualSpacing/>
        <w:jc w:val="right"/>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PV-0,8*R&gt;0</m:t>
                </m:r>
              </m:e>
              <m:e>
                <m:r>
                  <w:rPr>
                    <w:rFonts w:ascii="Cambria Math" w:hAnsi="Cambria Math"/>
                    <w:sz w:val="28"/>
                    <w:szCs w:val="28"/>
                  </w:rPr>
                  <m:t xml:space="preserve">   1,       если PV-0,8*R≤0</m:t>
                </m:r>
              </m:e>
            </m:eqArr>
          </m:e>
        </m:d>
      </m:oMath>
      <w:r w:rsidR="00074819">
        <w:tab/>
      </w:r>
      <w:r w:rsidR="00074819">
        <w:tab/>
      </w:r>
      <w:r w:rsidR="00074819">
        <w:tab/>
      </w:r>
      <w:r w:rsidR="00074819">
        <w:tab/>
        <w:t>(2)</w:t>
      </w:r>
    </w:p>
    <w:p w:rsidR="00074819" w:rsidRDefault="00074819" w:rsidP="00074819">
      <w:pPr>
        <w:jc w:val="both"/>
        <w:rPr>
          <w:sz w:val="24"/>
          <w:szCs w:val="24"/>
        </w:rPr>
      </w:pPr>
      <w:r>
        <w:rPr>
          <w:sz w:val="24"/>
          <w:szCs w:val="24"/>
        </w:rPr>
        <w:t>г</w:t>
      </w:r>
      <w:r w:rsidRPr="00EF00D0">
        <w:rPr>
          <w:sz w:val="24"/>
          <w:szCs w:val="24"/>
        </w:rPr>
        <w:t>де</w:t>
      </w:r>
      <w:r>
        <w:rPr>
          <w:sz w:val="24"/>
          <w:szCs w:val="24"/>
        </w:rPr>
        <w:t xml:space="preserve">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p>
    <w:p w:rsidR="00074819" w:rsidRDefault="00074819" w:rsidP="00074819">
      <w:pPr>
        <w:pStyle w:val="a3"/>
        <w:numPr>
          <w:ilvl w:val="1"/>
          <w:numId w:val="105"/>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 депозитов</w:t>
      </w:r>
      <w:r w:rsidRPr="00241C31">
        <w:rPr>
          <w:rFonts w:ascii="Times New Roman" w:hAnsi="Times New Roman"/>
          <w:sz w:val="24"/>
          <w:szCs w:val="24"/>
        </w:rPr>
        <w:t>.</w:t>
      </w:r>
    </w:p>
    <w:p w:rsidR="00074819" w:rsidRPr="00241C31" w:rsidRDefault="00074819" w:rsidP="00074819">
      <w:pPr>
        <w:pStyle w:val="a3"/>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d"/>
          <w:rFonts w:ascii="Times New Roman" w:hAnsi="Times New Roman"/>
          <w:b/>
          <w:i/>
          <w:sz w:val="24"/>
          <w:szCs w:val="24"/>
        </w:rPr>
        <w:footnoteReference w:id="2"/>
      </w:r>
      <w:r w:rsidRPr="00241C31">
        <w:rPr>
          <w:rFonts w:ascii="Times New Roman" w:hAnsi="Times New Roman"/>
          <w:b/>
          <w:i/>
          <w:sz w:val="24"/>
          <w:szCs w:val="24"/>
        </w:rPr>
        <w:t>:</w:t>
      </w:r>
    </w:p>
    <w:p w:rsidR="00074819" w:rsidRDefault="00074819" w:rsidP="00074819">
      <w:pPr>
        <w:pStyle w:val="a3"/>
        <w:spacing w:after="0" w:line="240" w:lineRule="auto"/>
        <w:ind w:left="567"/>
        <w:jc w:val="both"/>
        <w:rPr>
          <w:rFonts w:ascii="Times New Roman" w:hAnsi="Times New Roman"/>
        </w:rPr>
      </w:pPr>
    </w:p>
    <w:p w:rsidR="00074819" w:rsidRPr="00A57FAF" w:rsidRDefault="00074819" w:rsidP="00074819">
      <w:pPr>
        <w:ind w:firstLine="567"/>
        <w:jc w:val="both"/>
        <w:rPr>
          <w:sz w:val="24"/>
          <w:szCs w:val="24"/>
        </w:rPr>
      </w:pPr>
      <w:r w:rsidRPr="00A57FAF">
        <w:rPr>
          <w:sz w:val="24"/>
          <w:szCs w:val="24"/>
        </w:rPr>
        <w:t>Годовая вероятность дефо</w:t>
      </w:r>
      <w:r>
        <w:rPr>
          <w:sz w:val="24"/>
          <w:szCs w:val="24"/>
        </w:rPr>
        <w:t>лта</w:t>
      </w:r>
      <w:r w:rsidRPr="00241C31">
        <w:rPr>
          <w:sz w:val="24"/>
          <w:szCs w:val="24"/>
        </w:rPr>
        <w:t xml:space="preserve"> </w:t>
      </w:r>
      <m:oMath>
        <m:r>
          <m:rPr>
            <m:sty m:val="p"/>
          </m:rPr>
          <w:rPr>
            <w:rFonts w:ascii="Cambria Math" w:hAnsi="Cambria Math"/>
            <w:sz w:val="24"/>
            <w:szCs w:val="24"/>
          </w:rPr>
          <m:t>PD</m:t>
        </m:r>
      </m:oMath>
      <w:r w:rsidRPr="00241C31">
        <w:rPr>
          <w:sz w:val="24"/>
          <w:szCs w:val="24"/>
        </w:rPr>
        <w:t xml:space="preserve"> </w:t>
      </w:r>
      <w:r w:rsidRPr="00A57FAF">
        <w:rPr>
          <w:sz w:val="24"/>
          <w:szCs w:val="24"/>
        </w:rPr>
        <w:t xml:space="preserve">контрагента определяется </w:t>
      </w:r>
      <w:r>
        <w:rPr>
          <w:sz w:val="24"/>
          <w:szCs w:val="24"/>
        </w:rPr>
        <w:t>в зависимости от его рейтинга кредитного качества по</w:t>
      </w:r>
      <w:r w:rsidRPr="00A57FAF">
        <w:rPr>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sz w:val="24"/>
          <w:szCs w:val="24"/>
        </w:rPr>
        <w:t>.</w:t>
      </w:r>
      <w:r w:rsidRPr="00A57FAF">
        <w:rPr>
          <w:sz w:val="24"/>
          <w:szCs w:val="24"/>
        </w:rPr>
        <w:t xml:space="preserve"> </w:t>
      </w:r>
      <w:r w:rsidRPr="008803FD">
        <w:rPr>
          <w:sz w:val="24"/>
          <w:szCs w:val="24"/>
        </w:rPr>
        <w:t>В Таблице 1 приведена информация о сопоставлении рейтингов кредитных рейтинговых агентств.</w:t>
      </w:r>
    </w:p>
    <w:p w:rsidR="00074819" w:rsidRPr="00A57FAF" w:rsidRDefault="00074819" w:rsidP="00074819">
      <w:pPr>
        <w:jc w:val="both"/>
        <w:rPr>
          <w:sz w:val="16"/>
          <w:szCs w:val="16"/>
        </w:rPr>
      </w:pPr>
    </w:p>
    <w:p w:rsidR="00074819" w:rsidRPr="00BA5829" w:rsidRDefault="00074819" w:rsidP="00074819">
      <w:pPr>
        <w:jc w:val="center"/>
        <w:rPr>
          <w:b/>
          <w:i/>
          <w:sz w:val="24"/>
          <w:szCs w:val="24"/>
        </w:rPr>
      </w:pPr>
      <w:r w:rsidRPr="00BA5829">
        <w:rPr>
          <w:b/>
          <w:i/>
          <w:sz w:val="24"/>
          <w:szCs w:val="24"/>
        </w:rPr>
        <w:t>Таблица 1. Сопоставление рейтингов кредитных рейтинговых агентств</w:t>
      </w:r>
    </w:p>
    <w:p w:rsidR="00074819" w:rsidRDefault="00074819" w:rsidP="00074819">
      <w:pPr>
        <w:jc w:val="right"/>
        <w:rPr>
          <w:sz w:val="16"/>
          <w:szCs w:val="16"/>
        </w:rPr>
      </w:pPr>
    </w:p>
    <w:tbl>
      <w:tblPr>
        <w:tblW w:w="7080" w:type="dxa"/>
        <w:tblInd w:w="93" w:type="dxa"/>
        <w:tblLook w:val="04A0" w:firstRow="1" w:lastRow="0" w:firstColumn="1" w:lastColumn="0" w:noHBand="0" w:noVBand="1"/>
      </w:tblPr>
      <w:tblGrid>
        <w:gridCol w:w="1320"/>
        <w:gridCol w:w="960"/>
        <w:gridCol w:w="960"/>
        <w:gridCol w:w="960"/>
        <w:gridCol w:w="960"/>
        <w:gridCol w:w="960"/>
        <w:gridCol w:w="960"/>
      </w:tblGrid>
      <w:tr w:rsidR="00074819" w:rsidRPr="00CD5DFA" w:rsidTr="00EA777F">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Рейтинги кредитных рейтинговых агентств</w:t>
            </w:r>
          </w:p>
        </w:tc>
      </w:tr>
      <w:tr w:rsidR="00074819" w:rsidRPr="00CD5DFA" w:rsidTr="00EA777F">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АКРА</w:t>
            </w:r>
          </w:p>
        </w:tc>
      </w:tr>
      <w:tr w:rsidR="00074819" w:rsidRPr="00CD5DFA" w:rsidTr="00EA777F">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63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8</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9</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10</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w:t>
            </w:r>
          </w:p>
        </w:tc>
      </w:tr>
      <w:tr w:rsidR="00074819" w:rsidRPr="00CD5DFA" w:rsidTr="00EA777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осуществляется процедура банкротства</w:t>
            </w:r>
          </w:p>
        </w:tc>
      </w:tr>
    </w:tbl>
    <w:p w:rsidR="00074819" w:rsidRPr="00241C31" w:rsidRDefault="00074819" w:rsidP="00074819">
      <w:pPr>
        <w:jc w:val="right"/>
        <w:rPr>
          <w:sz w:val="16"/>
          <w:szCs w:val="16"/>
        </w:rPr>
      </w:pPr>
    </w:p>
    <w:p w:rsidR="00074819" w:rsidRPr="00241C31" w:rsidRDefault="00074819" w:rsidP="00074819">
      <w:pPr>
        <w:pStyle w:val="a3"/>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074819" w:rsidRPr="00241C31" w:rsidRDefault="00074819" w:rsidP="00074819">
      <w:pPr>
        <w:pStyle w:val="a3"/>
        <w:spacing w:after="0" w:line="240" w:lineRule="auto"/>
        <w:ind w:left="567"/>
        <w:jc w:val="both"/>
        <w:rPr>
          <w:rFonts w:ascii="Times New Roman" w:hAnsi="Times New Roman"/>
          <w:sz w:val="16"/>
          <w:szCs w:val="16"/>
        </w:rPr>
      </w:pPr>
    </w:p>
    <w:p w:rsidR="00074819" w:rsidRPr="00A57FAF" w:rsidRDefault="00074819" w:rsidP="00074819">
      <w:pPr>
        <w:pStyle w:val="a3"/>
        <w:spacing w:after="0" w:line="240" w:lineRule="auto"/>
        <w:ind w:left="0" w:firstLine="567"/>
        <w:jc w:val="both"/>
        <w:rPr>
          <w:rFonts w:ascii="Times New Roman" w:hAnsi="Times New Roman"/>
          <w:sz w:val="24"/>
          <w:szCs w:val="24"/>
        </w:rPr>
      </w:pPr>
      <w:r w:rsidRPr="00A57FAF">
        <w:rPr>
          <w:rFonts w:ascii="Times New Roman" w:hAnsi="Times New Roman"/>
          <w:sz w:val="24"/>
          <w:szCs w:val="24"/>
        </w:rPr>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074819" w:rsidRPr="00BA5829" w:rsidRDefault="00074819" w:rsidP="00074819">
      <w:pPr>
        <w:spacing w:before="120"/>
        <w:rPr>
          <w:b/>
          <w:i/>
          <w:sz w:val="24"/>
          <w:szCs w:val="24"/>
        </w:rPr>
      </w:pPr>
      <w:r w:rsidRPr="00BA5829">
        <w:rPr>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1463"/>
        <w:gridCol w:w="3371"/>
        <w:gridCol w:w="2112"/>
        <w:gridCol w:w="1176"/>
      </w:tblGrid>
      <w:tr w:rsidR="00074819" w:rsidRPr="00DC41EE" w:rsidTr="00EA777F">
        <w:trPr>
          <w:jc w:val="center"/>
        </w:trPr>
        <w:tc>
          <w:tcPr>
            <w:tcW w:w="608" w:type="pct"/>
            <w:vAlign w:val="center"/>
          </w:tcPr>
          <w:p w:rsidR="00074819" w:rsidRDefault="00074819" w:rsidP="00EA777F">
            <w:pPr>
              <w:jc w:val="center"/>
              <w:rPr>
                <w:rFonts w:eastAsia="MS Mincho"/>
                <w:bCs/>
              </w:rPr>
            </w:pPr>
            <w:r w:rsidRPr="00DC41EE">
              <w:rPr>
                <w:rFonts w:eastAsia="MS Mincho"/>
                <w:bCs/>
              </w:rPr>
              <w:t>№</w:t>
            </w:r>
          </w:p>
          <w:p w:rsidR="00074819" w:rsidRPr="00DC41EE" w:rsidRDefault="00074819" w:rsidP="00EA777F">
            <w:pPr>
              <w:jc w:val="center"/>
              <w:rPr>
                <w:rFonts w:eastAsia="MS Mincho"/>
                <w:bCs/>
              </w:rPr>
            </w:pPr>
            <w:r w:rsidRPr="00DC41EE">
              <w:rPr>
                <w:rFonts w:eastAsia="MS Mincho"/>
                <w:bCs/>
              </w:rPr>
              <w:t>категории</w:t>
            </w:r>
          </w:p>
        </w:tc>
        <w:tc>
          <w:tcPr>
            <w:tcW w:w="791"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Pr>
                <w:rFonts w:eastAsia="MS Mincho"/>
                <w:bCs/>
              </w:rPr>
              <w:t>Внутренний к</w:t>
            </w:r>
            <w:r w:rsidRPr="00DC41EE">
              <w:rPr>
                <w:rFonts w:eastAsia="MS Mincho"/>
                <w:bCs/>
              </w:rPr>
              <w:t>редитный рейтинг</w:t>
            </w:r>
          </w:p>
        </w:tc>
        <w:tc>
          <w:tcPr>
            <w:tcW w:w="1823"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Оценка кредитоспособности</w:t>
            </w:r>
          </w:p>
        </w:tc>
        <w:tc>
          <w:tcPr>
            <w:tcW w:w="636" w:type="pct"/>
            <w:vAlign w:val="center"/>
          </w:tcPr>
          <w:p w:rsidR="00074819" w:rsidRPr="00DC41EE" w:rsidRDefault="00074819" w:rsidP="00EA777F">
            <w:pPr>
              <w:jc w:val="center"/>
              <w:rPr>
                <w:rFonts w:eastAsia="MS Mincho"/>
                <w:bCs/>
              </w:rPr>
            </w:pPr>
            <w:r w:rsidRPr="00DC41EE">
              <w:rPr>
                <w:rFonts w:eastAsia="MS Mincho"/>
                <w:bCs/>
              </w:rPr>
              <w:t>PD</w:t>
            </w:r>
            <w:r>
              <w:rPr>
                <w:rFonts w:eastAsia="MS Mincho"/>
                <w:bCs/>
              </w:rPr>
              <w:t>, %</w:t>
            </w:r>
          </w:p>
        </w:tc>
      </w:tr>
      <w:tr w:rsidR="00074819" w:rsidRPr="00CF16C7" w:rsidTr="00EA777F">
        <w:trPr>
          <w:jc w:val="center"/>
        </w:trPr>
        <w:tc>
          <w:tcPr>
            <w:tcW w:w="608" w:type="pct"/>
            <w:vAlign w:val="center"/>
          </w:tcPr>
          <w:p w:rsidR="00074819" w:rsidRPr="00CF16C7" w:rsidRDefault="00074819" w:rsidP="00EA777F">
            <w:pPr>
              <w:jc w:val="center"/>
              <w:rPr>
                <w:rFonts w:eastAsia="MS Mincho"/>
                <w:bCs/>
              </w:rPr>
            </w:pPr>
            <w:r>
              <w:rPr>
                <w:rFonts w:eastAsia="MS Mincho"/>
                <w:bCs/>
              </w:rPr>
              <w:t>1</w:t>
            </w:r>
          </w:p>
        </w:tc>
        <w:tc>
          <w:tcPr>
            <w:tcW w:w="791"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2</w:t>
            </w:r>
          </w:p>
        </w:tc>
        <w:tc>
          <w:tcPr>
            <w:tcW w:w="1823"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3</w:t>
            </w:r>
          </w:p>
        </w:tc>
        <w:tc>
          <w:tcPr>
            <w:tcW w:w="1142"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4</w:t>
            </w:r>
          </w:p>
        </w:tc>
        <w:tc>
          <w:tcPr>
            <w:tcW w:w="636" w:type="pct"/>
            <w:vAlign w:val="center"/>
          </w:tcPr>
          <w:p w:rsidR="00074819" w:rsidRPr="00CF16C7" w:rsidRDefault="00074819" w:rsidP="00EA777F">
            <w:pPr>
              <w:jc w:val="center"/>
              <w:rPr>
                <w:rFonts w:eastAsia="MS Mincho"/>
                <w:bCs/>
              </w:rPr>
            </w:pPr>
            <w:r>
              <w:rPr>
                <w:rFonts w:eastAsia="MS Mincho"/>
                <w:bCs/>
              </w:rPr>
              <w:t>5</w:t>
            </w:r>
          </w:p>
        </w:tc>
      </w:tr>
      <w:tr w:rsidR="00074819" w:rsidRPr="00DC41EE" w:rsidTr="00EA777F">
        <w:trPr>
          <w:jc w:val="center"/>
        </w:trPr>
        <w:tc>
          <w:tcPr>
            <w:tcW w:w="608" w:type="pct"/>
            <w:vMerge w:val="restart"/>
            <w:vAlign w:val="center"/>
          </w:tcPr>
          <w:p w:rsidR="00074819" w:rsidRPr="0093245B" w:rsidRDefault="00074819" w:rsidP="00EA777F">
            <w:pPr>
              <w:jc w:val="center"/>
              <w:rPr>
                <w:color w:val="000000"/>
              </w:rPr>
            </w:pPr>
            <w:r>
              <w:rPr>
                <w:color w:val="000000"/>
              </w:rPr>
              <w:t>1</w:t>
            </w:r>
          </w:p>
        </w:tc>
        <w:tc>
          <w:tcPr>
            <w:tcW w:w="791" w:type="pct"/>
            <w:tcMar>
              <w:top w:w="0" w:type="dxa"/>
              <w:left w:w="108" w:type="dxa"/>
              <w:bottom w:w="0" w:type="dxa"/>
              <w:right w:w="108" w:type="dxa"/>
            </w:tcMar>
            <w:hideMark/>
          </w:tcPr>
          <w:p w:rsidR="00074819" w:rsidRPr="00DC41EE" w:rsidRDefault="00074819" w:rsidP="00EA777F">
            <w:pPr>
              <w:jc w:val="center"/>
              <w:rPr>
                <w:color w:val="000000"/>
              </w:rPr>
            </w:pPr>
            <w:r w:rsidRPr="00DC41EE">
              <w:rPr>
                <w:color w:val="000000"/>
              </w:rPr>
              <w:t>ААА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100 (вкл.)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высокая</w:t>
            </w:r>
          </w:p>
        </w:tc>
        <w:tc>
          <w:tcPr>
            <w:tcW w:w="636" w:type="pct"/>
            <w:vAlign w:val="center"/>
          </w:tcPr>
          <w:p w:rsidR="00074819" w:rsidRPr="00DC41EE" w:rsidRDefault="00074819" w:rsidP="00EA777F">
            <w:pPr>
              <w:jc w:val="center"/>
            </w:pPr>
            <w:r>
              <w:t>0,25</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 xml:space="preserve">От </w:t>
            </w:r>
            <w:r>
              <w:rPr>
                <w:color w:val="000000"/>
              </w:rPr>
              <w:t>90</w:t>
            </w:r>
            <w:r w:rsidRPr="00DC41EE">
              <w:rPr>
                <w:color w:val="000000"/>
              </w:rPr>
              <w:t xml:space="preserve"> (вкл.) до 1</w:t>
            </w:r>
            <w:r>
              <w:rPr>
                <w:color w:val="000000"/>
              </w:rPr>
              <w:t>00</w:t>
            </w:r>
            <w:r w:rsidRPr="00DC41EE">
              <w:rPr>
                <w:color w:val="000000"/>
              </w:rPr>
              <w:t xml:space="preserve">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0,51</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75 (вкл.) до 90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1,25</w:t>
            </w:r>
          </w:p>
        </w:tc>
      </w:tr>
      <w:tr w:rsidR="00074819" w:rsidRPr="00DC41EE" w:rsidTr="00EA777F">
        <w:trPr>
          <w:trHeight w:val="60"/>
          <w:jc w:val="center"/>
        </w:trPr>
        <w:tc>
          <w:tcPr>
            <w:tcW w:w="608" w:type="pct"/>
            <w:vMerge w:val="restart"/>
            <w:vAlign w:val="center"/>
          </w:tcPr>
          <w:p w:rsidR="00074819" w:rsidRPr="0093245B" w:rsidRDefault="00074819" w:rsidP="00EA777F">
            <w:pPr>
              <w:jc w:val="center"/>
              <w:rPr>
                <w:color w:val="000000"/>
              </w:rPr>
            </w:pPr>
            <w:r>
              <w:rPr>
                <w:color w:val="000000"/>
              </w:rPr>
              <w:t>2</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ВВВ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65 (вкл.) до 75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средняя</w:t>
            </w:r>
          </w:p>
        </w:tc>
        <w:tc>
          <w:tcPr>
            <w:tcW w:w="636" w:type="pct"/>
            <w:vAlign w:val="center"/>
          </w:tcPr>
          <w:p w:rsidR="00074819" w:rsidRPr="00DC41EE" w:rsidRDefault="00074819" w:rsidP="00EA777F">
            <w:pPr>
              <w:jc w:val="center"/>
            </w:pPr>
            <w:r>
              <w:t>2,15</w:t>
            </w:r>
          </w:p>
        </w:tc>
      </w:tr>
      <w:tr w:rsidR="00074819" w:rsidRPr="00DC41EE" w:rsidTr="00EA777F">
        <w:trPr>
          <w:trHeight w:val="60"/>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BВ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55 (вкл.) до 65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8,99</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40 (вкл.) до 55(искл.)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24</w:t>
            </w:r>
            <w:r w:rsidRPr="009E4844">
              <w:t>,</w:t>
            </w:r>
            <w:r>
              <w:t>07</w:t>
            </w:r>
          </w:p>
        </w:tc>
      </w:tr>
      <w:tr w:rsidR="00074819" w:rsidRPr="00CC51C7" w:rsidTr="00EA777F">
        <w:trPr>
          <w:jc w:val="center"/>
        </w:trPr>
        <w:tc>
          <w:tcPr>
            <w:tcW w:w="608" w:type="pct"/>
            <w:vMerge w:val="restart"/>
            <w:vAlign w:val="center"/>
          </w:tcPr>
          <w:p w:rsidR="00074819" w:rsidRPr="0093245B" w:rsidRDefault="00074819" w:rsidP="00EA777F">
            <w:pPr>
              <w:jc w:val="center"/>
              <w:rPr>
                <w:color w:val="000000"/>
              </w:rPr>
            </w:pPr>
            <w:r>
              <w:rPr>
                <w:color w:val="000000"/>
              </w:rPr>
              <w:t>3</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25 (вкл.) до 40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низкая</w:t>
            </w:r>
          </w:p>
        </w:tc>
        <w:tc>
          <w:tcPr>
            <w:tcW w:w="636" w:type="pct"/>
            <w:vAlign w:val="center"/>
          </w:tcPr>
          <w:p w:rsidR="00074819" w:rsidRPr="00CC51C7" w:rsidRDefault="00074819" w:rsidP="00EA777F">
            <w:pPr>
              <w:ind w:left="-61"/>
              <w:jc w:val="center"/>
              <w:rPr>
                <w:color w:val="000000"/>
              </w:rPr>
            </w:pPr>
            <w:r>
              <w:t>30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15 (вкл.) до 25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50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 (вкл.) до 15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75</w:t>
            </w:r>
          </w:p>
        </w:tc>
      </w:tr>
      <w:tr w:rsidR="00074819" w:rsidRPr="00CC51C7" w:rsidTr="00EA777F">
        <w:trPr>
          <w:jc w:val="center"/>
        </w:trPr>
        <w:tc>
          <w:tcPr>
            <w:tcW w:w="608" w:type="pct"/>
            <w:vAlign w:val="center"/>
          </w:tcPr>
          <w:p w:rsidR="00074819" w:rsidRPr="0093245B" w:rsidRDefault="00074819" w:rsidP="00EA777F">
            <w:pPr>
              <w:ind w:hanging="65"/>
              <w:jc w:val="center"/>
              <w:rPr>
                <w:color w:val="000000"/>
              </w:rPr>
            </w:pPr>
            <w:r>
              <w:rPr>
                <w:color w:val="000000"/>
              </w:rPr>
              <w:t>4</w:t>
            </w:r>
          </w:p>
        </w:tc>
        <w:tc>
          <w:tcPr>
            <w:tcW w:w="791" w:type="pct"/>
            <w:tcMar>
              <w:top w:w="0" w:type="dxa"/>
              <w:left w:w="108" w:type="dxa"/>
              <w:bottom w:w="0" w:type="dxa"/>
              <w:right w:w="108" w:type="dxa"/>
            </w:tcMar>
            <w:vAlign w:val="center"/>
            <w:hideMark/>
          </w:tcPr>
          <w:p w:rsidR="00074819" w:rsidRPr="00DC41EE" w:rsidRDefault="00074819" w:rsidP="00EA777F">
            <w:pPr>
              <w:ind w:firstLine="33"/>
              <w:jc w:val="center"/>
              <w:rPr>
                <w:color w:val="000000"/>
              </w:rPr>
            </w:pPr>
            <w:r w:rsidRPr="00DC41EE">
              <w:rPr>
                <w:color w:val="000000"/>
              </w:rPr>
              <w:t>D</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Pr>
                <w:color w:val="000000"/>
              </w:rPr>
              <w:t>м</w:t>
            </w:r>
            <w:r w:rsidRPr="00DC41EE">
              <w:rPr>
                <w:color w:val="000000"/>
              </w:rPr>
              <w:t>еньше 5</w:t>
            </w:r>
          </w:p>
        </w:tc>
        <w:tc>
          <w:tcPr>
            <w:tcW w:w="1142" w:type="pc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дефолт</w:t>
            </w:r>
          </w:p>
        </w:tc>
        <w:tc>
          <w:tcPr>
            <w:tcW w:w="636" w:type="pct"/>
            <w:vAlign w:val="center"/>
          </w:tcPr>
          <w:p w:rsidR="00074819" w:rsidRPr="00CC51C7" w:rsidRDefault="00074819" w:rsidP="00EA777F">
            <w:pPr>
              <w:ind w:left="-61"/>
              <w:jc w:val="center"/>
              <w:rPr>
                <w:color w:val="000000"/>
              </w:rPr>
            </w:pPr>
            <w:r w:rsidRPr="00DC41EE">
              <w:rPr>
                <w:lang w:val="en-US"/>
              </w:rPr>
              <w:t>100</w:t>
            </w:r>
          </w:p>
        </w:tc>
      </w:tr>
    </w:tbl>
    <w:p w:rsidR="00074819" w:rsidRPr="008803FD" w:rsidRDefault="00074819" w:rsidP="00074819">
      <w:pPr>
        <w:spacing w:before="120"/>
        <w:ind w:firstLine="567"/>
        <w:jc w:val="both"/>
        <w:rPr>
          <w:rFonts w:eastAsia="MS Mincho"/>
          <w:sz w:val="16"/>
          <w:szCs w:val="16"/>
        </w:rPr>
      </w:pPr>
    </w:p>
    <w:p w:rsidR="00074819" w:rsidRPr="00EF10DE" w:rsidRDefault="00074819" w:rsidP="00074819">
      <w:pPr>
        <w:ind w:firstLine="567"/>
        <w:jc w:val="both"/>
        <w:rPr>
          <w:rFonts w:eastAsia="MS Mincho"/>
          <w:sz w:val="24"/>
          <w:szCs w:val="24"/>
        </w:rPr>
      </w:pPr>
      <w:r w:rsidRPr="00EF10DE">
        <w:rPr>
          <w:rFonts w:eastAsia="MS Mincho"/>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74819" w:rsidRPr="00EF10DE" w:rsidRDefault="00074819" w:rsidP="00074819">
      <w:pPr>
        <w:ind w:firstLine="567"/>
        <w:jc w:val="both"/>
        <w:rPr>
          <w:rFonts w:eastAsia="MS Mincho"/>
          <w:sz w:val="24"/>
          <w:szCs w:val="24"/>
        </w:rPr>
      </w:pPr>
      <w:r w:rsidRPr="00EF10DE">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74819" w:rsidRPr="00EF00D0" w:rsidRDefault="00074819" w:rsidP="00074819">
      <w:pPr>
        <w:ind w:firstLine="567"/>
        <w:jc w:val="both"/>
        <w:rPr>
          <w:rFonts w:eastAsia="MS Mincho"/>
          <w:sz w:val="24"/>
          <w:szCs w:val="24"/>
        </w:rPr>
      </w:pPr>
      <w:r w:rsidRPr="00EF00D0">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74819" w:rsidRDefault="00074819" w:rsidP="00074819">
      <w:pPr>
        <w:ind w:firstLine="567"/>
        <w:jc w:val="both"/>
        <w:rPr>
          <w:rFonts w:eastAsia="MS Mincho"/>
          <w:sz w:val="24"/>
          <w:szCs w:val="24"/>
        </w:rPr>
      </w:pPr>
      <w:r w:rsidRPr="00EF10DE">
        <w:rPr>
          <w:rFonts w:eastAsia="MS Mincho"/>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074819" w:rsidRPr="00EF00D0" w:rsidRDefault="00074819" w:rsidP="00074819">
      <w:pPr>
        <w:ind w:firstLine="567"/>
        <w:jc w:val="both"/>
        <w:rPr>
          <w:rFonts w:eastAsia="MS Mincho"/>
          <w:sz w:val="24"/>
          <w:szCs w:val="24"/>
        </w:rPr>
      </w:pPr>
      <w:r w:rsidRPr="00EF00D0">
        <w:rPr>
          <w:rFonts w:eastAsia="MS Mincho"/>
          <w:sz w:val="24"/>
          <w:szCs w:val="24"/>
        </w:rPr>
        <w:t>Коэффициент кредитоспособности контрагента определяется по формуле:</w:t>
      </w:r>
    </w:p>
    <w:p w:rsidR="00074819" w:rsidRPr="00EF00D0" w:rsidRDefault="00074819" w:rsidP="00074819">
      <w:pPr>
        <w:ind w:firstLine="709"/>
        <w:jc w:val="both"/>
        <w:rPr>
          <w:sz w:val="16"/>
          <w:szCs w:val="16"/>
        </w:rPr>
      </w:pPr>
    </w:p>
    <w:p w:rsidR="00074819" w:rsidRPr="00EF10DE" w:rsidRDefault="00074819" w:rsidP="00074819">
      <w:pPr>
        <w:ind w:firstLine="709"/>
        <w:jc w:val="right"/>
        <w:rPr>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bCs/>
          <w:sz w:val="28"/>
          <w:szCs w:val="28"/>
        </w:rPr>
        <w:t>,</w:t>
      </w:r>
      <w:r>
        <w:rPr>
          <w:bCs/>
          <w:sz w:val="24"/>
          <w:szCs w:val="24"/>
        </w:rPr>
        <w:tab/>
      </w:r>
      <w:r>
        <w:rPr>
          <w:bCs/>
          <w:sz w:val="24"/>
          <w:szCs w:val="24"/>
        </w:rPr>
        <w:tab/>
      </w:r>
      <w:r>
        <w:rPr>
          <w:bCs/>
          <w:sz w:val="24"/>
          <w:szCs w:val="24"/>
        </w:rPr>
        <w:tab/>
      </w:r>
      <w:r>
        <w:rPr>
          <w:bCs/>
          <w:sz w:val="24"/>
          <w:szCs w:val="24"/>
        </w:rPr>
        <w:tab/>
      </w:r>
      <w:r>
        <w:rPr>
          <w:bCs/>
          <w:sz w:val="24"/>
          <w:szCs w:val="24"/>
        </w:rPr>
        <w:tab/>
        <w:t>(3)</w:t>
      </w:r>
    </w:p>
    <w:p w:rsidR="00074819" w:rsidRPr="00EF00D0" w:rsidRDefault="00074819" w:rsidP="00074819">
      <w:pPr>
        <w:ind w:firstLine="709"/>
        <w:jc w:val="both"/>
        <w:rPr>
          <w:bCs/>
          <w:sz w:val="16"/>
          <w:szCs w:val="16"/>
        </w:rPr>
      </w:pPr>
    </w:p>
    <w:p w:rsidR="00074819" w:rsidRPr="00EF00D0" w:rsidRDefault="00074819" w:rsidP="00074819">
      <w:pPr>
        <w:ind w:firstLine="567"/>
        <w:jc w:val="both"/>
        <w:rPr>
          <w:rFonts w:eastAsia="MS Mincho"/>
          <w:sz w:val="24"/>
          <w:szCs w:val="24"/>
        </w:rPr>
      </w:pPr>
      <w:r w:rsidRPr="00EF00D0">
        <w:rPr>
          <w:rFonts w:eastAsia="MS Mincho"/>
          <w:sz w:val="24"/>
          <w:szCs w:val="24"/>
        </w:rPr>
        <w:t>где</w:t>
      </w:r>
    </w:p>
    <w:p w:rsidR="00074819" w:rsidRPr="00EF00D0" w:rsidRDefault="00381153"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баллы </w:t>
      </w:r>
      <w:r w:rsidR="00074819" w:rsidRPr="002876FC">
        <w:rPr>
          <w:rFonts w:eastAsia="MS Mincho"/>
          <w:sz w:val="24"/>
          <w:szCs w:val="24"/>
        </w:rPr>
        <w:t xml:space="preserve">в соответствии со значением </w:t>
      </w:r>
      <w:r w:rsidR="00074819" w:rsidRPr="00EF00D0">
        <w:rPr>
          <w:rFonts w:eastAsia="MS Mincho"/>
          <w:sz w:val="24"/>
          <w:szCs w:val="24"/>
        </w:rPr>
        <w:t>коэффициента,</w:t>
      </w:r>
    </w:p>
    <w:p w:rsidR="00074819" w:rsidRPr="00EF00D0" w:rsidRDefault="00381153"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вес коэффициента.</w:t>
      </w:r>
    </w:p>
    <w:p w:rsidR="00074819" w:rsidRPr="00EF00D0" w:rsidRDefault="00074819" w:rsidP="00074819">
      <w:pPr>
        <w:ind w:firstLine="567"/>
        <w:jc w:val="both"/>
        <w:rPr>
          <w:rFonts w:eastAsia="MS Mincho"/>
          <w:sz w:val="24"/>
          <w:szCs w:val="24"/>
        </w:rPr>
      </w:pPr>
    </w:p>
    <w:p w:rsidR="00074819" w:rsidRDefault="00074819" w:rsidP="00074819">
      <w:pPr>
        <w:ind w:firstLine="567"/>
        <w:rPr>
          <w:rFonts w:eastAsia="MS Mincho"/>
          <w:sz w:val="24"/>
          <w:szCs w:val="24"/>
        </w:rPr>
      </w:pPr>
      <w:r w:rsidRPr="002876FC">
        <w:rPr>
          <w:rFonts w:eastAsia="MS Mincho"/>
          <w:sz w:val="24"/>
          <w:szCs w:val="24"/>
        </w:rPr>
        <w:t xml:space="preserve">В зависимости от типа организации в Таблицах 3.1 и 3.2 приводятся используемые в расчете коэффициенты и их веса </w:t>
      </w:r>
    </w:p>
    <w:p w:rsidR="00074819" w:rsidRDefault="00074819" w:rsidP="00074819">
      <w:pPr>
        <w:ind w:firstLine="567"/>
        <w:rPr>
          <w:rFonts w:eastAsia="MS Mincho"/>
          <w:sz w:val="24"/>
          <w:szCs w:val="24"/>
        </w:rPr>
      </w:pPr>
    </w:p>
    <w:p w:rsidR="00074819" w:rsidRPr="00BA5829" w:rsidRDefault="00074819" w:rsidP="00074819">
      <w:pPr>
        <w:ind w:firstLine="567"/>
        <w:rPr>
          <w:rFonts w:eastAsia="MS Mincho"/>
          <w:b/>
          <w:i/>
          <w:sz w:val="24"/>
          <w:szCs w:val="24"/>
        </w:rPr>
      </w:pPr>
      <w:r w:rsidRPr="00BA5829">
        <w:rPr>
          <w:rFonts w:eastAsia="MS Mincho"/>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70"/>
        <w:gridCol w:w="1522"/>
        <w:gridCol w:w="1522"/>
        <w:gridCol w:w="1522"/>
        <w:gridCol w:w="786"/>
        <w:gridCol w:w="1502"/>
      </w:tblGrid>
      <w:tr w:rsidR="00074819" w:rsidRPr="00EF10DE" w:rsidTr="00EA777F">
        <w:tc>
          <w:tcPr>
            <w:tcW w:w="228" w:type="pct"/>
            <w:vMerge w:val="restart"/>
            <w:vAlign w:val="center"/>
          </w:tcPr>
          <w:p w:rsidR="00074819" w:rsidRPr="00EF10DE" w:rsidRDefault="00074819" w:rsidP="00EA777F">
            <w:pPr>
              <w:jc w:val="center"/>
              <w:rPr>
                <w:rFonts w:eastAsia="MS Mincho"/>
                <w:bCs/>
              </w:rPr>
            </w:pPr>
            <w:r w:rsidRPr="00EF10DE">
              <w:rPr>
                <w:rFonts w:eastAsia="MS Mincho"/>
                <w:bCs/>
              </w:rPr>
              <w:t>№</w:t>
            </w:r>
          </w:p>
        </w:tc>
        <w:tc>
          <w:tcPr>
            <w:tcW w:w="1296" w:type="pct"/>
            <w:vMerge w:val="restar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2301" w:type="pct"/>
            <w:gridSpan w:val="3"/>
            <w:vAlign w:val="center"/>
          </w:tcPr>
          <w:p w:rsidR="00074819" w:rsidRPr="00EF10DE" w:rsidRDefault="00074819" w:rsidP="00EA777F">
            <w:pPr>
              <w:jc w:val="center"/>
              <w:rPr>
                <w:bCs/>
                <w:spacing w:val="-3"/>
              </w:rPr>
            </w:pPr>
            <w:r w:rsidRPr="00EF10DE">
              <w:rPr>
                <w:rFonts w:eastAsia="MS Mincho"/>
                <w:bCs/>
              </w:rPr>
              <w:t>Значение</w:t>
            </w:r>
          </w:p>
        </w:tc>
        <w:tc>
          <w:tcPr>
            <w:tcW w:w="421" w:type="pct"/>
            <w:vMerge w:val="restart"/>
            <w:vAlign w:val="center"/>
          </w:tcPr>
          <w:p w:rsidR="00074819" w:rsidRPr="00EF10DE" w:rsidRDefault="00074819" w:rsidP="00EA777F">
            <w:pPr>
              <w:jc w:val="center"/>
              <w:rPr>
                <w:bCs/>
                <w:spacing w:val="-3"/>
              </w:rPr>
            </w:pPr>
            <w:r w:rsidRPr="00EF10DE">
              <w:rPr>
                <w:bCs/>
                <w:spacing w:val="-3"/>
              </w:rPr>
              <w:t>Баллы,</w:t>
            </w:r>
          </w:p>
          <w:p w:rsidR="00074819" w:rsidRPr="00EF10DE" w:rsidRDefault="00074819" w:rsidP="00EA777F">
            <w:pPr>
              <w:jc w:val="center"/>
              <w:rPr>
                <w:bCs/>
                <w:spacing w:val="-3"/>
              </w:rPr>
            </w:pPr>
            <w:r w:rsidRPr="00EF10DE">
              <w:rPr>
                <w:bCs/>
                <w:lang w:val="en-US"/>
              </w:rPr>
              <w:t>Bi</w:t>
            </w:r>
          </w:p>
        </w:tc>
        <w:tc>
          <w:tcPr>
            <w:tcW w:w="754" w:type="pct"/>
            <w:vMerge w:val="restart"/>
            <w:vAlign w:val="center"/>
          </w:tcPr>
          <w:p w:rsidR="00074819" w:rsidRPr="00EF10DE" w:rsidRDefault="00074819" w:rsidP="00EA777F">
            <w:pPr>
              <w:jc w:val="center"/>
              <w:rPr>
                <w:bCs/>
              </w:rPr>
            </w:pPr>
            <w:r w:rsidRPr="00EF10DE">
              <w:rPr>
                <w:bCs/>
              </w:rPr>
              <w:t>Вес коэффициента,</w:t>
            </w:r>
          </w:p>
          <w:p w:rsidR="00074819" w:rsidRPr="00EF10DE" w:rsidRDefault="00074819" w:rsidP="00EA777F">
            <w:pPr>
              <w:jc w:val="center"/>
              <w:rPr>
                <w:rFonts w:eastAsia="MS Mincho"/>
                <w:bCs/>
              </w:rPr>
            </w:pPr>
            <w:r w:rsidRPr="00EF10DE">
              <w:rPr>
                <w:bCs/>
                <w:smallCaps/>
                <w:lang w:val="en-US"/>
              </w:rPr>
              <w:t>P</w:t>
            </w:r>
            <w:r w:rsidRPr="00EF10DE">
              <w:rPr>
                <w:bCs/>
                <w:lang w:val="en-US"/>
              </w:rPr>
              <w:t>i</w:t>
            </w:r>
          </w:p>
        </w:tc>
      </w:tr>
      <w:tr w:rsidR="00074819" w:rsidRPr="00EF10DE" w:rsidTr="00EA777F">
        <w:tc>
          <w:tcPr>
            <w:tcW w:w="228" w:type="pct"/>
            <w:vMerge/>
            <w:vAlign w:val="center"/>
          </w:tcPr>
          <w:p w:rsidR="00074819" w:rsidRPr="00EF10DE" w:rsidRDefault="00074819" w:rsidP="00EA777F">
            <w:pPr>
              <w:jc w:val="center"/>
              <w:rPr>
                <w:rFonts w:eastAsia="MS Mincho"/>
                <w:bCs/>
              </w:rPr>
            </w:pPr>
          </w:p>
        </w:tc>
        <w:tc>
          <w:tcPr>
            <w:tcW w:w="1296" w:type="pct"/>
            <w:vMerge/>
            <w:vAlign w:val="center"/>
          </w:tcPr>
          <w:p w:rsidR="00074819" w:rsidRPr="00EF10DE" w:rsidRDefault="00074819" w:rsidP="00EA777F">
            <w:pPr>
              <w:jc w:val="center"/>
              <w:rPr>
                <w:rFonts w:eastAsia="MS Mincho"/>
                <w:bCs/>
              </w:rPr>
            </w:pPr>
          </w:p>
        </w:tc>
        <w:tc>
          <w:tcPr>
            <w:tcW w:w="746" w:type="pct"/>
            <w:vAlign w:val="center"/>
          </w:tcPr>
          <w:p w:rsidR="00074819" w:rsidRPr="00EF10DE" w:rsidRDefault="00074819" w:rsidP="00EA777F">
            <w:pPr>
              <w:jc w:val="center"/>
              <w:rPr>
                <w:rFonts w:eastAsia="MS Mincho"/>
                <w:bCs/>
              </w:rPr>
            </w:pPr>
            <w:r w:rsidRPr="00EF10DE">
              <w:rPr>
                <w:rFonts w:eastAsia="MS Mincho"/>
                <w:bCs/>
              </w:rPr>
              <w:t>Все отрасли</w:t>
            </w:r>
          </w:p>
        </w:tc>
        <w:tc>
          <w:tcPr>
            <w:tcW w:w="809" w:type="pct"/>
            <w:vAlign w:val="center"/>
          </w:tcPr>
          <w:p w:rsidR="00074819" w:rsidRPr="00EF10DE" w:rsidRDefault="00074819" w:rsidP="00EA777F">
            <w:pPr>
              <w:jc w:val="center"/>
              <w:rPr>
                <w:bCs/>
                <w:spacing w:val="-3"/>
              </w:rPr>
            </w:pPr>
            <w:r w:rsidRPr="00EF10DE">
              <w:rPr>
                <w:bCs/>
                <w:spacing w:val="-3"/>
              </w:rPr>
              <w:t>Строительство</w:t>
            </w:r>
          </w:p>
        </w:tc>
        <w:tc>
          <w:tcPr>
            <w:tcW w:w="746" w:type="pct"/>
            <w:vAlign w:val="center"/>
          </w:tcPr>
          <w:p w:rsidR="00074819" w:rsidRPr="00EF10DE" w:rsidRDefault="00074819" w:rsidP="00EA777F">
            <w:pPr>
              <w:jc w:val="center"/>
              <w:rPr>
                <w:bCs/>
                <w:spacing w:val="-3"/>
              </w:rPr>
            </w:pPr>
            <w:r w:rsidRPr="00EF10DE">
              <w:rPr>
                <w:bCs/>
                <w:spacing w:val="-3"/>
              </w:rPr>
              <w:t>Сдача в наем и купля продажа недвижимого имущества</w:t>
            </w:r>
          </w:p>
        </w:tc>
        <w:tc>
          <w:tcPr>
            <w:tcW w:w="421" w:type="pct"/>
            <w:vMerge/>
          </w:tcPr>
          <w:p w:rsidR="00074819" w:rsidRPr="00EF10DE" w:rsidRDefault="00074819" w:rsidP="00EA777F">
            <w:pPr>
              <w:jc w:val="center"/>
              <w:rPr>
                <w:bCs/>
                <w:spacing w:val="-3"/>
              </w:rPr>
            </w:pPr>
          </w:p>
        </w:tc>
        <w:tc>
          <w:tcPr>
            <w:tcW w:w="754" w:type="pct"/>
            <w:vMerge/>
            <w:vAlign w:val="center"/>
          </w:tcPr>
          <w:p w:rsidR="00074819" w:rsidRPr="00EF10DE" w:rsidRDefault="00074819" w:rsidP="00EA777F">
            <w:pPr>
              <w:rPr>
                <w:bCs/>
              </w:rPr>
            </w:pPr>
          </w:p>
        </w:tc>
      </w:tr>
      <w:tr w:rsidR="00074819" w:rsidRPr="00EF10DE" w:rsidTr="00EA777F">
        <w:trPr>
          <w:cantSplit/>
        </w:trPr>
        <w:tc>
          <w:tcPr>
            <w:tcW w:w="5000" w:type="pct"/>
            <w:gridSpan w:val="7"/>
            <w:vAlign w:val="center"/>
          </w:tcPr>
          <w:p w:rsidR="00074819" w:rsidRPr="00EF10DE" w:rsidRDefault="00074819" w:rsidP="00EA777F">
            <w:pPr>
              <w:rPr>
                <w:bCs/>
              </w:rPr>
            </w:pPr>
            <w:r w:rsidRPr="00EF10DE">
              <w:rPr>
                <w:bCs/>
              </w:rPr>
              <w:t>Показатели финансовой устойчивости (независимости)</w:t>
            </w:r>
          </w:p>
        </w:tc>
      </w:tr>
      <w:tr w:rsidR="00074819" w:rsidRPr="00EF10DE" w:rsidTr="00EA777F">
        <w:trPr>
          <w:cantSplit/>
          <w:trHeight w:val="766"/>
        </w:trPr>
        <w:tc>
          <w:tcPr>
            <w:tcW w:w="228" w:type="pct"/>
            <w:tcBorders>
              <w:bottom w:val="single" w:sz="4" w:space="0" w:color="auto"/>
            </w:tcBorders>
            <w:vAlign w:val="center"/>
          </w:tcPr>
          <w:p w:rsidR="00074819" w:rsidRPr="00EF10DE" w:rsidRDefault="00074819" w:rsidP="00EA777F">
            <w:pPr>
              <w:rPr>
                <w:rFonts w:eastAsia="MS Mincho"/>
                <w:bCs/>
                <w:i/>
                <w:iCs/>
              </w:rPr>
            </w:pPr>
            <w:r w:rsidRPr="00EF10DE">
              <w:rPr>
                <w:rFonts w:eastAsia="MS Mincho"/>
                <w:bCs/>
                <w:i/>
                <w:iCs/>
              </w:rPr>
              <w:t>К1</w:t>
            </w:r>
          </w:p>
        </w:tc>
        <w:tc>
          <w:tcPr>
            <w:tcW w:w="1296"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w:t>
            </w:r>
          </w:p>
          <w:p w:rsidR="00074819" w:rsidRPr="00EF10DE" w:rsidRDefault="00074819" w:rsidP="00EA777F">
            <w:pPr>
              <w:jc w:val="center"/>
              <w:rPr>
                <w:rFonts w:eastAsia="MS Mincho"/>
              </w:rPr>
            </w:pPr>
            <w:r w:rsidRPr="00EF10DE">
              <w:rPr>
                <w:rFonts w:eastAsia="MS Mincho"/>
              </w:rPr>
              <w:t>от 0,1 до 0,3</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809"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0,12</w:t>
            </w:r>
          </w:p>
          <w:p w:rsidR="00074819" w:rsidRPr="00EF10DE" w:rsidRDefault="00074819" w:rsidP="00EA777F">
            <w:pPr>
              <w:jc w:val="center"/>
              <w:rPr>
                <w:rFonts w:eastAsia="MS Mincho"/>
              </w:rPr>
            </w:pPr>
            <w:r w:rsidRPr="00EF10DE">
              <w:rPr>
                <w:rFonts w:eastAsia="MS Mincho"/>
              </w:rPr>
              <w:t>от 0,07 до 0,12</w:t>
            </w:r>
          </w:p>
          <w:p w:rsidR="00074819" w:rsidRPr="00EF10DE" w:rsidRDefault="00074819" w:rsidP="00EA777F">
            <w:pPr>
              <w:jc w:val="center"/>
              <w:rPr>
                <w:rFonts w:eastAsia="MS Mincho"/>
              </w:rPr>
            </w:pPr>
            <w:r w:rsidRPr="00EF10DE">
              <w:rPr>
                <w:rFonts w:eastAsia="MS Mincho"/>
              </w:rPr>
              <w:t>от 0 до 0,07</w:t>
            </w:r>
          </w:p>
          <w:p w:rsidR="00074819" w:rsidRPr="00EF10DE" w:rsidRDefault="00074819" w:rsidP="00EA777F">
            <w:pPr>
              <w:jc w:val="center"/>
              <w:rPr>
                <w:rFonts w:eastAsia="MS Mincho"/>
              </w:rPr>
            </w:pPr>
            <w:r w:rsidRPr="00EF10DE">
              <w:rPr>
                <w:rFonts w:eastAsia="MS Mincho"/>
              </w:rPr>
              <w:t>отрицательный</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0,37</w:t>
            </w:r>
          </w:p>
          <w:p w:rsidR="00074819" w:rsidRPr="00EF10DE" w:rsidRDefault="00074819" w:rsidP="00EA777F">
            <w:pPr>
              <w:jc w:val="center"/>
              <w:rPr>
                <w:rFonts w:eastAsia="MS Mincho"/>
              </w:rPr>
            </w:pPr>
            <w:r w:rsidRPr="00EF10DE">
              <w:rPr>
                <w:rFonts w:eastAsia="MS Mincho"/>
              </w:rPr>
              <w:t>от 0,22 до 0,37</w:t>
            </w:r>
          </w:p>
          <w:p w:rsidR="00074819" w:rsidRPr="00EF10DE" w:rsidRDefault="00074819" w:rsidP="00EA777F">
            <w:pPr>
              <w:jc w:val="center"/>
              <w:rPr>
                <w:rFonts w:eastAsia="MS Mincho"/>
              </w:rPr>
            </w:pPr>
            <w:r w:rsidRPr="00EF10DE">
              <w:rPr>
                <w:rFonts w:eastAsia="MS Mincho"/>
              </w:rPr>
              <w:t>от 0 до 0,22</w:t>
            </w:r>
          </w:p>
          <w:p w:rsidR="00074819" w:rsidRPr="00EF10DE" w:rsidRDefault="00074819" w:rsidP="00EA777F">
            <w:pPr>
              <w:jc w:val="center"/>
              <w:rPr>
                <w:rFonts w:eastAsia="MS Mincho"/>
              </w:rPr>
            </w:pPr>
            <w:r w:rsidRPr="00EF10DE">
              <w:rPr>
                <w:rFonts w:eastAsia="MS Mincho"/>
              </w:rPr>
              <w:t>отрицательный</w:t>
            </w:r>
          </w:p>
        </w:tc>
        <w:tc>
          <w:tcPr>
            <w:tcW w:w="421"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679"/>
        </w:trPr>
        <w:tc>
          <w:tcPr>
            <w:tcW w:w="228" w:type="pct"/>
            <w:vAlign w:val="center"/>
          </w:tcPr>
          <w:p w:rsidR="00074819" w:rsidRPr="00EF10DE" w:rsidRDefault="00074819" w:rsidP="00EA777F">
            <w:pPr>
              <w:rPr>
                <w:rFonts w:eastAsia="MS Mincho"/>
                <w:bCs/>
                <w:i/>
                <w:iCs/>
              </w:rPr>
            </w:pPr>
            <w:r w:rsidRPr="00EF10DE">
              <w:rPr>
                <w:rFonts w:eastAsia="MS Mincho"/>
                <w:bCs/>
                <w:i/>
                <w:iCs/>
              </w:rPr>
              <w:t>К2</w:t>
            </w:r>
          </w:p>
        </w:tc>
        <w:tc>
          <w:tcPr>
            <w:tcW w:w="1296" w:type="pct"/>
            <w:vAlign w:val="center"/>
          </w:tcPr>
          <w:p w:rsidR="00074819" w:rsidRPr="00EF10DE" w:rsidRDefault="00074819" w:rsidP="00EA777F">
            <w:r w:rsidRPr="00EF10DE">
              <w:t>Коэффициент обеспеченности собственными оборотными средствами</w:t>
            </w:r>
          </w:p>
        </w:tc>
        <w:tc>
          <w:tcPr>
            <w:tcW w:w="2301" w:type="pct"/>
            <w:gridSpan w:val="3"/>
            <w:vAlign w:val="center"/>
          </w:tcPr>
          <w:p w:rsidR="00074819" w:rsidRPr="00EF10DE" w:rsidRDefault="00074819" w:rsidP="00EA777F">
            <w:pPr>
              <w:jc w:val="center"/>
              <w:rPr>
                <w:rFonts w:eastAsia="MS Mincho"/>
              </w:rPr>
            </w:pPr>
            <w:r w:rsidRPr="00EF10DE">
              <w:rPr>
                <w:rFonts w:eastAsia="MS Mincho"/>
              </w:rPr>
              <w:t>свыше 0,2</w:t>
            </w:r>
          </w:p>
          <w:p w:rsidR="00074819" w:rsidRPr="00EF10DE" w:rsidRDefault="00074819" w:rsidP="00EA777F">
            <w:pPr>
              <w:jc w:val="center"/>
              <w:rPr>
                <w:rFonts w:eastAsia="MS Mincho"/>
              </w:rPr>
            </w:pPr>
            <w:r w:rsidRPr="00EF10DE">
              <w:rPr>
                <w:rFonts w:eastAsia="MS Mincho"/>
              </w:rPr>
              <w:t>от 0 до 0,2</w:t>
            </w:r>
          </w:p>
          <w:p w:rsidR="00074819" w:rsidRPr="00EF10DE" w:rsidRDefault="00074819" w:rsidP="00EA777F">
            <w:pPr>
              <w:jc w:val="center"/>
              <w:rPr>
                <w:rFonts w:eastAsia="MS Mincho"/>
              </w:rPr>
            </w:pPr>
            <w:r w:rsidRPr="00EF10DE">
              <w:rPr>
                <w:rFonts w:eastAsia="MS Mincho"/>
              </w:rPr>
              <w:t>отрицательный</w:t>
            </w:r>
          </w:p>
        </w:tc>
        <w:tc>
          <w:tcPr>
            <w:tcW w:w="421" w:type="pct"/>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92"/>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ликвидности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К3</w:t>
            </w:r>
          </w:p>
        </w:tc>
        <w:tc>
          <w:tcPr>
            <w:tcW w:w="1296" w:type="pct"/>
            <w:vAlign w:val="center"/>
          </w:tcPr>
          <w:p w:rsidR="00074819" w:rsidRPr="00EF10DE" w:rsidRDefault="00074819" w:rsidP="00EA777F">
            <w:r w:rsidRPr="00EF10DE">
              <w:t>Коэффициент текущей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1,6</w:t>
            </w:r>
          </w:p>
          <w:p w:rsidR="00074819" w:rsidRPr="00EF10DE" w:rsidRDefault="00074819" w:rsidP="00EA777F">
            <w:pPr>
              <w:jc w:val="center"/>
              <w:rPr>
                <w:rFonts w:eastAsia="MS Mincho"/>
              </w:rPr>
            </w:pPr>
            <w:r w:rsidRPr="00EF10DE">
              <w:rPr>
                <w:rFonts w:eastAsia="MS Mincho"/>
              </w:rPr>
              <w:t>от 1,0 до 1,6</w:t>
            </w:r>
          </w:p>
          <w:p w:rsidR="00074819" w:rsidRDefault="00074819" w:rsidP="00EA777F">
            <w:pPr>
              <w:jc w:val="center"/>
              <w:rPr>
                <w:rFonts w:eastAsia="MS Mincho"/>
              </w:rPr>
            </w:pPr>
            <w:r>
              <w:rPr>
                <w:rFonts w:eastAsia="MS Mincho"/>
              </w:rPr>
              <w:t xml:space="preserve">от 0 </w:t>
            </w:r>
            <w:r w:rsidRPr="00EF10DE">
              <w:rPr>
                <w:rFonts w:eastAsia="MS Mincho"/>
              </w:rPr>
              <w:t>до 1,0</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lang w:val="en-US"/>
              </w:rPr>
            </w:pPr>
            <w:r w:rsidRPr="00EF10DE">
              <w:rPr>
                <w:rFonts w:eastAsia="MS Mincho"/>
              </w:rPr>
              <w:t>0,</w:t>
            </w:r>
            <w:r w:rsidRPr="00EF10DE">
              <w:rPr>
                <w:rFonts w:eastAsia="MS Mincho"/>
                <w:lang w:val="en-US"/>
              </w:rPr>
              <w:t>20</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К4</w:t>
            </w:r>
          </w:p>
        </w:tc>
        <w:tc>
          <w:tcPr>
            <w:tcW w:w="1296" w:type="pct"/>
            <w:vAlign w:val="center"/>
          </w:tcPr>
          <w:p w:rsidR="00074819" w:rsidRPr="00EF10DE" w:rsidRDefault="00074819" w:rsidP="00EA777F">
            <w:r w:rsidRPr="00EF10DE">
              <w:t>Коэффициент срочной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0,5</w:t>
            </w:r>
          </w:p>
          <w:p w:rsidR="00074819" w:rsidRPr="00EF10DE" w:rsidRDefault="00074819" w:rsidP="00EA777F">
            <w:pPr>
              <w:jc w:val="center"/>
              <w:rPr>
                <w:rFonts w:eastAsia="MS Mincho"/>
              </w:rPr>
            </w:pPr>
            <w:r w:rsidRPr="00EF10DE">
              <w:rPr>
                <w:rFonts w:eastAsia="MS Mincho"/>
              </w:rPr>
              <w:t>от 0,1 до 0,5</w:t>
            </w:r>
          </w:p>
          <w:p w:rsidR="00074819" w:rsidRDefault="00074819" w:rsidP="00EA777F">
            <w:pPr>
              <w:jc w:val="center"/>
              <w:rPr>
                <w:rFonts w:eastAsia="MS Mincho"/>
              </w:rPr>
            </w:pPr>
            <w:r>
              <w:rPr>
                <w:rFonts w:eastAsia="MS Mincho"/>
              </w:rPr>
              <w:t xml:space="preserve">от 0 </w:t>
            </w:r>
            <w:r w:rsidRPr="00EF10DE">
              <w:rPr>
                <w:rFonts w:eastAsia="MS Mincho"/>
              </w:rPr>
              <w:t>до 0,1</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рентабельности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К5</w:t>
            </w:r>
          </w:p>
        </w:tc>
        <w:tc>
          <w:tcPr>
            <w:tcW w:w="1296" w:type="pct"/>
            <w:vAlign w:val="center"/>
          </w:tcPr>
          <w:p w:rsidR="00074819" w:rsidRPr="00EF10DE" w:rsidRDefault="00074819" w:rsidP="00EA777F">
            <w:r w:rsidRPr="00EF10DE">
              <w:t>Рентабельность продаж</w:t>
            </w:r>
          </w:p>
          <w:p w:rsidR="00074819" w:rsidRPr="00EF10DE" w:rsidRDefault="00074819" w:rsidP="00EA777F">
            <w:r w:rsidRPr="00EF10DE">
              <w:t>(норма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lang w:val="en-US"/>
              </w:rPr>
              <w:t>0</w:t>
            </w:r>
            <w:r w:rsidRPr="00EF10DE">
              <w:rPr>
                <w:rFonts w:eastAsia="MS Mincho"/>
              </w:rPr>
              <w:t>,</w:t>
            </w:r>
            <w:r w:rsidRPr="00EF10DE">
              <w:rPr>
                <w:rFonts w:eastAsia="MS Mincho"/>
                <w:lang w:val="en-US"/>
              </w:rPr>
              <w:t>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К6</w:t>
            </w:r>
          </w:p>
        </w:tc>
        <w:tc>
          <w:tcPr>
            <w:tcW w:w="1296" w:type="pct"/>
            <w:vAlign w:val="center"/>
          </w:tcPr>
          <w:p w:rsidR="00074819" w:rsidRPr="00EF10DE" w:rsidRDefault="00074819" w:rsidP="00EA777F">
            <w:r w:rsidRPr="00EF10DE">
              <w:t>Рентабельность реализации продукции (норма чистой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деловой активности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К7</w:t>
            </w:r>
          </w:p>
        </w:tc>
        <w:tc>
          <w:tcPr>
            <w:tcW w:w="1296" w:type="pct"/>
            <w:vAlign w:val="center"/>
          </w:tcPr>
          <w:p w:rsidR="00074819" w:rsidRPr="00EF10DE" w:rsidRDefault="00074819" w:rsidP="00EA777F">
            <w:r w:rsidRPr="00EF10DE">
              <w:t>Оборачиваемость товарно-материальных запасов</w:t>
            </w:r>
          </w:p>
        </w:tc>
        <w:tc>
          <w:tcPr>
            <w:tcW w:w="2301" w:type="pct"/>
            <w:gridSpan w:val="3"/>
          </w:tcPr>
          <w:p w:rsidR="00074819" w:rsidRPr="00EF10DE" w:rsidRDefault="00074819" w:rsidP="00EA777F">
            <w:pPr>
              <w:jc w:val="center"/>
              <w:rPr>
                <w:rFonts w:eastAsia="MS Mincho"/>
              </w:rPr>
            </w:pPr>
            <w:r w:rsidRPr="00EF10DE">
              <w:rPr>
                <w:rFonts w:eastAsia="MS Mincho"/>
              </w:rPr>
              <w:t>свыше 45</w:t>
            </w:r>
          </w:p>
          <w:p w:rsidR="00074819" w:rsidRPr="00EF10DE" w:rsidRDefault="00074819" w:rsidP="00EA777F">
            <w:pPr>
              <w:jc w:val="center"/>
              <w:rPr>
                <w:rFonts w:eastAsia="MS Mincho"/>
              </w:rPr>
            </w:pPr>
            <w:r w:rsidRPr="00EF10DE">
              <w:rPr>
                <w:rFonts w:eastAsia="MS Mincho"/>
              </w:rPr>
              <w:t>от 20 до 45</w:t>
            </w:r>
          </w:p>
          <w:p w:rsidR="00074819" w:rsidRPr="00EF10DE" w:rsidRDefault="00074819" w:rsidP="00EA777F">
            <w:pPr>
              <w:jc w:val="center"/>
              <w:rPr>
                <w:rFonts w:eastAsia="MS Mincho"/>
              </w:rPr>
            </w:pPr>
            <w:r w:rsidRPr="00EF10DE">
              <w:rPr>
                <w:rFonts w:eastAsia="MS Mincho"/>
              </w:rPr>
              <w:t>до 20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К8</w:t>
            </w:r>
          </w:p>
        </w:tc>
        <w:tc>
          <w:tcPr>
            <w:tcW w:w="1296" w:type="pct"/>
            <w:vAlign w:val="center"/>
          </w:tcPr>
          <w:p w:rsidR="00074819" w:rsidRPr="00EF10DE" w:rsidRDefault="00074819" w:rsidP="00EA777F">
            <w:r w:rsidRPr="00EF10DE">
              <w:t>Оборачиваемость дебиторской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К9</w:t>
            </w:r>
          </w:p>
        </w:tc>
        <w:tc>
          <w:tcPr>
            <w:tcW w:w="1296" w:type="pct"/>
            <w:vAlign w:val="center"/>
          </w:tcPr>
          <w:p w:rsidR="00074819" w:rsidRPr="00EF10DE" w:rsidRDefault="00074819" w:rsidP="00EA777F">
            <w:r w:rsidRPr="00EF10DE">
              <w:t>Оборачиваемость кредиторской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bl>
    <w:p w:rsidR="00074819" w:rsidRPr="00EF10DE" w:rsidRDefault="00074819" w:rsidP="00074819">
      <w:pPr>
        <w:ind w:firstLine="709"/>
        <w:jc w:val="right"/>
        <w:rPr>
          <w:sz w:val="24"/>
          <w:szCs w:val="24"/>
        </w:rPr>
      </w:pPr>
    </w:p>
    <w:p w:rsidR="00074819" w:rsidRDefault="00074819" w:rsidP="00074819">
      <w:pPr>
        <w:rPr>
          <w:b/>
          <w:i/>
          <w:sz w:val="24"/>
          <w:szCs w:val="24"/>
        </w:rPr>
      </w:pPr>
      <w:r w:rsidRPr="00BA5829">
        <w:rPr>
          <w:b/>
          <w:i/>
          <w:sz w:val="24"/>
          <w:szCs w:val="24"/>
        </w:rPr>
        <w:t>Таблица 3.2. Коэффициенты для некредитных финансовых организаций</w:t>
      </w:r>
    </w:p>
    <w:p w:rsidR="00074819" w:rsidRDefault="00074819" w:rsidP="00074819">
      <w:pPr>
        <w:rPr>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552"/>
        <w:gridCol w:w="1823"/>
        <w:gridCol w:w="847"/>
        <w:gridCol w:w="1512"/>
      </w:tblGrid>
      <w:tr w:rsidR="00074819" w:rsidRPr="00B67C20" w:rsidTr="00EA777F">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984" w:type="pct"/>
            <w:tcBorders>
              <w:top w:val="single" w:sz="4" w:space="0" w:color="auto"/>
              <w:left w:val="single" w:sz="4" w:space="0" w:color="auto"/>
              <w:right w:val="single" w:sz="4" w:space="0" w:color="auto"/>
            </w:tcBorders>
            <w:vAlign w:val="center"/>
            <w:hideMark/>
          </w:tcPr>
          <w:p w:rsidR="00074819" w:rsidRPr="00B67C20" w:rsidRDefault="00074819" w:rsidP="00EA777F">
            <w:pPr>
              <w:jc w:val="center"/>
              <w:rPr>
                <w:bCs/>
                <w:spacing w:val="-3"/>
              </w:rPr>
            </w:pPr>
            <w:r w:rsidRPr="00B67C20">
              <w:rPr>
                <w:rFonts w:eastAsia="MS Mincho"/>
                <w:bCs/>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Баллы,</w:t>
            </w:r>
          </w:p>
          <w:p w:rsidR="00074819" w:rsidRPr="00B67C20" w:rsidRDefault="00074819" w:rsidP="00EA777F">
            <w:pPr>
              <w:jc w:val="center"/>
              <w:rPr>
                <w:bCs/>
                <w:spacing w:val="-3"/>
              </w:rPr>
            </w:pPr>
            <w:r w:rsidRPr="00B67C20">
              <w:rPr>
                <w:bCs/>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rPr>
            </w:pPr>
            <w:r w:rsidRPr="00B67C20">
              <w:rPr>
                <w:bCs/>
              </w:rPr>
              <w:t>Вес коэффициента,</w:t>
            </w:r>
          </w:p>
          <w:p w:rsidR="00074819" w:rsidRPr="00B67C20" w:rsidRDefault="00074819" w:rsidP="00EA777F">
            <w:pPr>
              <w:jc w:val="center"/>
              <w:rPr>
                <w:rFonts w:eastAsia="MS Mincho"/>
                <w:bCs/>
              </w:rPr>
            </w:pPr>
            <w:r w:rsidRPr="00B67C20">
              <w:rPr>
                <w:bCs/>
                <w:smallCaps/>
                <w:lang w:val="en-US"/>
              </w:rPr>
              <w:t>P</w:t>
            </w:r>
            <w:r w:rsidRPr="00B67C20">
              <w:rPr>
                <w:bCs/>
                <w:lang w:val="en-US"/>
              </w:rPr>
              <w:t>i</w:t>
            </w:r>
          </w:p>
        </w:tc>
      </w:tr>
      <w:tr w:rsidR="00074819" w:rsidRPr="00B67C20" w:rsidTr="00EA777F">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rPr>
            </w:pPr>
            <w:r w:rsidRPr="00B67C20">
              <w:rPr>
                <w:bCs/>
              </w:rPr>
              <w:t>Показатели финансовой устойчивости (независимости)</w:t>
            </w:r>
          </w:p>
        </w:tc>
      </w:tr>
      <w:tr w:rsidR="00074819" w:rsidRPr="00B67C20" w:rsidTr="00EA777F">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lastRenderedPageBreak/>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185C07" w:rsidRDefault="00074819" w:rsidP="00EA777F">
            <w:pPr>
              <w:jc w:val="center"/>
              <w:rPr>
                <w:rFonts w:eastAsia="MS Mincho"/>
              </w:rPr>
            </w:pPr>
            <w:r w:rsidRPr="00B67C20">
              <w:rPr>
                <w:rFonts w:eastAsia="MS Mincho"/>
              </w:rPr>
              <w:t>свыше 0,</w:t>
            </w:r>
            <w:r w:rsidRPr="00185C07">
              <w:rPr>
                <w:rFonts w:eastAsia="MS Mincho"/>
              </w:rPr>
              <w:t>15</w:t>
            </w:r>
          </w:p>
          <w:p w:rsidR="00074819" w:rsidRPr="00185C07" w:rsidRDefault="00074819" w:rsidP="00EA777F">
            <w:pPr>
              <w:jc w:val="center"/>
              <w:rPr>
                <w:rFonts w:eastAsia="MS Mincho"/>
              </w:rPr>
            </w:pPr>
            <w:r w:rsidRPr="00B67C20">
              <w:rPr>
                <w:rFonts w:eastAsia="MS Mincho"/>
              </w:rPr>
              <w:t>от 0,1 до 0,</w:t>
            </w:r>
            <w:r w:rsidRPr="00185C07">
              <w:rPr>
                <w:rFonts w:eastAsia="MS Mincho"/>
              </w:rPr>
              <w:t>15</w:t>
            </w:r>
          </w:p>
          <w:p w:rsidR="00074819" w:rsidRPr="00B67C20"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B67C20" w:rsidRDefault="00074819" w:rsidP="00EA777F">
            <w:pPr>
              <w:jc w:val="center"/>
              <w:rPr>
                <w:rFonts w:eastAsia="MS Mincho"/>
              </w:rPr>
            </w:pPr>
            <w:r>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свыше 0,1</w:t>
            </w:r>
            <w:r>
              <w:rPr>
                <w:rFonts w:eastAsia="MS Mincho"/>
              </w:rPr>
              <w:t>2</w:t>
            </w:r>
          </w:p>
          <w:p w:rsidR="00074819" w:rsidRPr="00B67C20" w:rsidRDefault="00074819" w:rsidP="00EA777F">
            <w:pPr>
              <w:jc w:val="center"/>
              <w:rPr>
                <w:rFonts w:eastAsia="MS Mincho"/>
              </w:rPr>
            </w:pPr>
            <w:r w:rsidRPr="00B67C20">
              <w:rPr>
                <w:rFonts w:eastAsia="MS Mincho"/>
              </w:rPr>
              <w:t>от 0,</w:t>
            </w:r>
            <w:r>
              <w:rPr>
                <w:rFonts w:eastAsia="MS Mincho"/>
              </w:rPr>
              <w:t>1</w:t>
            </w:r>
            <w:r w:rsidRPr="00B67C20">
              <w:rPr>
                <w:rFonts w:eastAsia="MS Mincho"/>
              </w:rPr>
              <w:t xml:space="preserve"> до 0,1</w:t>
            </w:r>
            <w:r>
              <w:rPr>
                <w:rFonts w:eastAsia="MS Mincho"/>
              </w:rPr>
              <w:t>2</w:t>
            </w:r>
          </w:p>
          <w:p w:rsidR="00074819"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185C07" w:rsidRDefault="00074819" w:rsidP="00EA777F">
            <w:pPr>
              <w:jc w:val="center"/>
              <w:rPr>
                <w:rFonts w:eastAsia="MS Mincho"/>
              </w:rPr>
            </w:pPr>
            <w:r w:rsidRPr="00B67C20">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Default="00074819" w:rsidP="00EA777F">
            <w:pPr>
              <w:jc w:val="center"/>
              <w:rPr>
                <w:rFonts w:eastAsia="MS Mincho"/>
                <w:lang w:val="en-US"/>
              </w:rPr>
            </w:pPr>
            <w:r w:rsidRPr="00B67C20">
              <w:rPr>
                <w:rFonts w:eastAsia="MS Mincho"/>
              </w:rPr>
              <w:t>70</w:t>
            </w:r>
          </w:p>
          <w:p w:rsidR="00074819" w:rsidRPr="001143E9" w:rsidRDefault="00074819" w:rsidP="00EA777F">
            <w:pPr>
              <w:jc w:val="center"/>
              <w:rPr>
                <w:rFonts w:eastAsia="MS Mincho"/>
                <w:lang w:val="en-US"/>
              </w:rPr>
            </w:pPr>
            <w:r>
              <w:rPr>
                <w:rFonts w:eastAsia="MS Mincho"/>
                <w:lang w:val="en-US"/>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свыше 0,8</w:t>
            </w:r>
          </w:p>
          <w:p w:rsidR="00074819" w:rsidRPr="00B67C20" w:rsidRDefault="00074819" w:rsidP="00EA777F">
            <w:pPr>
              <w:jc w:val="center"/>
              <w:rPr>
                <w:rFonts w:eastAsia="MS Mincho"/>
              </w:rPr>
            </w:pPr>
            <w:r w:rsidRPr="00B67C20">
              <w:rPr>
                <w:rFonts w:eastAsia="MS Mincho"/>
              </w:rPr>
              <w:t>от 0,5 до 0,8</w:t>
            </w:r>
          </w:p>
          <w:p w:rsidR="00074819" w:rsidRPr="00B67C20" w:rsidRDefault="00074819" w:rsidP="00EA777F">
            <w:pPr>
              <w:jc w:val="center"/>
              <w:rPr>
                <w:rFonts w:eastAsia="MS Mincho"/>
              </w:rPr>
            </w:pPr>
            <w:r w:rsidRPr="00B67C20">
              <w:rPr>
                <w:rFonts w:eastAsia="MS Mincho"/>
              </w:rPr>
              <w:t>от 0,4 до 0,5</w:t>
            </w:r>
          </w:p>
          <w:p w:rsidR="00074819" w:rsidRPr="00B67C20" w:rsidRDefault="00074819" w:rsidP="00EA777F">
            <w:pPr>
              <w:jc w:val="center"/>
              <w:rPr>
                <w:rFonts w:eastAsia="MS Mincho"/>
              </w:rPr>
            </w:pPr>
            <w:r w:rsidRPr="00B67C20">
              <w:rPr>
                <w:rFonts w:eastAsia="MS Mincho"/>
              </w:rPr>
              <w:t>менее 0,4</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30</w:t>
            </w:r>
          </w:p>
          <w:p w:rsidR="00074819" w:rsidRPr="00B67C20" w:rsidRDefault="00074819" w:rsidP="00EA777F">
            <w:pPr>
              <w:jc w:val="center"/>
              <w:rPr>
                <w:rFonts w:eastAsia="MS Mincho"/>
              </w:rPr>
            </w:pPr>
            <w:r w:rsidRPr="00B67C20">
              <w:rPr>
                <w:rFonts w:eastAsia="MS Mincho"/>
              </w:rPr>
              <w:t>-10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Показатели рентабельности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0,05</w:t>
            </w:r>
          </w:p>
          <w:p w:rsidR="00074819" w:rsidRPr="00B67C20" w:rsidRDefault="00074819" w:rsidP="00EA777F">
            <w:pPr>
              <w:jc w:val="center"/>
              <w:rPr>
                <w:rFonts w:eastAsia="MS Mincho"/>
              </w:rPr>
            </w:pPr>
            <w:r w:rsidRPr="00B67C20">
              <w:rPr>
                <w:rFonts w:eastAsia="MS Mincho"/>
              </w:rPr>
              <w:t>от 0 до 0,05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lang w:val="en-US"/>
              </w:rPr>
              <w:t>0</w:t>
            </w:r>
            <w:r w:rsidRPr="00B67C20">
              <w:rPr>
                <w:rFonts w:eastAsia="MS Mincho"/>
              </w:rPr>
              <w:t>,1</w:t>
            </w:r>
            <w:r w:rsidRPr="00B67C20">
              <w:rPr>
                <w:rFonts w:eastAsia="MS Mincho"/>
                <w:lang w:val="en-US"/>
              </w:rPr>
              <w:t>5</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0,15</w:t>
            </w:r>
          </w:p>
          <w:p w:rsidR="00074819" w:rsidRPr="00B67C20" w:rsidRDefault="00074819" w:rsidP="00EA777F">
            <w:pPr>
              <w:jc w:val="center"/>
              <w:rPr>
                <w:rFonts w:eastAsia="MS Mincho"/>
              </w:rPr>
            </w:pPr>
            <w:r w:rsidRPr="00B67C20">
              <w:rPr>
                <w:rFonts w:eastAsia="MS Mincho"/>
              </w:rPr>
              <w:t>от 0 до 0,15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r w:rsidRPr="00B67C20">
              <w:rPr>
                <w:rFonts w:eastAsia="MS Mincho"/>
                <w:bCs/>
              </w:rPr>
              <w:t>Показател</w:t>
            </w:r>
            <w:r>
              <w:rPr>
                <w:rFonts w:eastAsia="MS Mincho"/>
                <w:bCs/>
              </w:rPr>
              <w:t>ь</w:t>
            </w:r>
            <w:r w:rsidRPr="00B67C20">
              <w:rPr>
                <w:rFonts w:eastAsia="MS Mincho"/>
                <w:bCs/>
              </w:rPr>
              <w:t xml:space="preserve"> долговой нагрузки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bCs/>
                <w:i/>
                <w:iCs/>
              </w:rPr>
            </w:pPr>
            <w:r w:rsidRPr="00B67C20">
              <w:rPr>
                <w:rFonts w:eastAsia="MS Mincho"/>
                <w:bCs/>
                <w:i/>
                <w:iCs/>
              </w:rPr>
              <w:t>К6</w:t>
            </w:r>
          </w:p>
        </w:tc>
        <w:tc>
          <w:tcPr>
            <w:tcW w:w="245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менее 0,4</w:t>
            </w:r>
          </w:p>
          <w:p w:rsidR="00074819" w:rsidRPr="00B67C20" w:rsidRDefault="00074819" w:rsidP="00EA777F">
            <w:pPr>
              <w:jc w:val="center"/>
              <w:rPr>
                <w:rFonts w:eastAsia="MS Mincho"/>
              </w:rPr>
            </w:pPr>
            <w:r w:rsidRPr="00B67C20">
              <w:rPr>
                <w:rFonts w:eastAsia="MS Mincho"/>
              </w:rPr>
              <w:t>от 0,7 до 0,4</w:t>
            </w:r>
          </w:p>
          <w:p w:rsidR="00074819" w:rsidRPr="00B67C20" w:rsidRDefault="00074819" w:rsidP="00EA777F">
            <w:pPr>
              <w:jc w:val="center"/>
              <w:rPr>
                <w:rFonts w:eastAsia="MS Mincho"/>
              </w:rPr>
            </w:pPr>
            <w:r w:rsidRPr="00B67C20">
              <w:rPr>
                <w:rFonts w:eastAsia="MS Mincho"/>
              </w:rPr>
              <w:t>более 0,7</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0,15</w:t>
            </w:r>
          </w:p>
        </w:tc>
      </w:tr>
    </w:tbl>
    <w:p w:rsidR="00074819" w:rsidRDefault="00074819" w:rsidP="00074819">
      <w:pPr>
        <w:rPr>
          <w:sz w:val="24"/>
          <w:szCs w:val="24"/>
        </w:rPr>
      </w:pPr>
    </w:p>
    <w:p w:rsidR="00074819" w:rsidRPr="00EF10DE" w:rsidRDefault="00074819" w:rsidP="00074819">
      <w:pPr>
        <w:jc w:val="both"/>
        <w:rPr>
          <w:sz w:val="24"/>
          <w:szCs w:val="24"/>
        </w:rPr>
      </w:pPr>
      <w:r>
        <w:rPr>
          <w:sz w:val="24"/>
          <w:szCs w:val="24"/>
        </w:rPr>
        <w:t>В Т</w:t>
      </w:r>
      <w:r w:rsidRPr="00EF10DE">
        <w:rPr>
          <w:sz w:val="24"/>
          <w:szCs w:val="24"/>
        </w:rPr>
        <w:t>аблиц</w:t>
      </w:r>
      <w:r>
        <w:rPr>
          <w:sz w:val="24"/>
          <w:szCs w:val="24"/>
        </w:rPr>
        <w:t>ах 4.1 и 4.2</w:t>
      </w:r>
      <w:r w:rsidRPr="00EF10DE">
        <w:rPr>
          <w:sz w:val="24"/>
          <w:szCs w:val="24"/>
        </w:rPr>
        <w:t xml:space="preserve"> приведены принятые правила расчета</w:t>
      </w:r>
      <w:r>
        <w:rPr>
          <w:sz w:val="24"/>
          <w:szCs w:val="24"/>
        </w:rPr>
        <w:t xml:space="preserve"> коэффициентов из соответствующих Таблиц 3.1 и 3.2.</w:t>
      </w:r>
    </w:p>
    <w:p w:rsidR="00074819" w:rsidRPr="00BA5829" w:rsidRDefault="00074819" w:rsidP="00074819">
      <w:pPr>
        <w:rPr>
          <w:rFonts w:eastAsia="MS Mincho"/>
          <w:b/>
          <w:i/>
          <w:sz w:val="24"/>
          <w:szCs w:val="24"/>
        </w:rPr>
      </w:pPr>
      <w:r w:rsidRPr="00BA5829">
        <w:rPr>
          <w:b/>
          <w:i/>
          <w:sz w:val="24"/>
          <w:szCs w:val="24"/>
        </w:rPr>
        <w:t xml:space="preserve">Таблица 4.1 Правила расчёта коэффициентов </w:t>
      </w:r>
      <w:r w:rsidRPr="00BA5829">
        <w:rPr>
          <w:rFonts w:eastAsia="MS Mincho"/>
          <w:b/>
          <w:i/>
          <w:sz w:val="24"/>
          <w:szCs w:val="24"/>
        </w:rPr>
        <w:t>для юридических лиц (за исключением кредитных организаций и некредитных финансовых организаций)</w:t>
      </w:r>
    </w:p>
    <w:p w:rsidR="00074819" w:rsidRPr="009C1975" w:rsidRDefault="00074819" w:rsidP="00074819">
      <w:pPr>
        <w:rPr>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37"/>
        <w:gridCol w:w="2992"/>
        <w:gridCol w:w="3897"/>
      </w:tblGrid>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rPr>
              <w:t>№</w:t>
            </w:r>
          </w:p>
        </w:tc>
        <w:tc>
          <w:tcPr>
            <w:tcW w:w="1044" w:type="pc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1613" w:type="pct"/>
            <w:vAlign w:val="center"/>
          </w:tcPr>
          <w:p w:rsidR="00074819" w:rsidRPr="00EF10DE" w:rsidRDefault="00074819" w:rsidP="00EA777F">
            <w:pPr>
              <w:jc w:val="center"/>
              <w:rPr>
                <w:bCs/>
                <w:spacing w:val="-3"/>
              </w:rPr>
            </w:pPr>
            <w:r w:rsidRPr="00EF10DE">
              <w:rPr>
                <w:bCs/>
                <w:spacing w:val="-3"/>
              </w:rPr>
              <w:t>Формула расчета</w:t>
            </w:r>
          </w:p>
          <w:p w:rsidR="00074819" w:rsidRPr="00EF10DE" w:rsidRDefault="00074819" w:rsidP="00EA777F">
            <w:pPr>
              <w:jc w:val="center"/>
              <w:rPr>
                <w:bCs/>
                <w:spacing w:val="-3"/>
              </w:rPr>
            </w:pPr>
            <w:r w:rsidRPr="00EF10DE">
              <w:rPr>
                <w:bCs/>
                <w:spacing w:val="-3"/>
              </w:rPr>
              <w:t>(с использованием данных строк бухгалтерского баланса)</w:t>
            </w:r>
          </w:p>
        </w:tc>
        <w:tc>
          <w:tcPr>
            <w:tcW w:w="2101" w:type="pct"/>
            <w:vAlign w:val="center"/>
          </w:tcPr>
          <w:p w:rsidR="00074819" w:rsidRPr="00EF10DE" w:rsidRDefault="00074819" w:rsidP="00EA777F">
            <w:pPr>
              <w:ind w:hanging="20"/>
              <w:jc w:val="center"/>
              <w:rPr>
                <w:bCs/>
                <w:spacing w:val="-3"/>
              </w:rPr>
            </w:pPr>
            <w:r w:rsidRPr="00EF10DE">
              <w:rPr>
                <w:bCs/>
                <w:spacing w:val="-3"/>
              </w:rPr>
              <w:t>Примечания</w:t>
            </w:r>
          </w:p>
        </w:tc>
      </w:tr>
      <w:tr w:rsidR="00074819" w:rsidRPr="00EF10DE" w:rsidTr="00EA777F">
        <w:trPr>
          <w:cantSplit/>
          <w:trHeight w:val="766"/>
        </w:trPr>
        <w:tc>
          <w:tcPr>
            <w:tcW w:w="242" w:type="pct"/>
            <w:tcBorders>
              <w:bottom w:val="single" w:sz="4" w:space="0" w:color="auto"/>
            </w:tcBorders>
            <w:vAlign w:val="center"/>
          </w:tcPr>
          <w:p w:rsidR="00074819" w:rsidRPr="00EF10DE" w:rsidRDefault="00074819" w:rsidP="00EA777F">
            <w:pPr>
              <w:jc w:val="center"/>
              <w:rPr>
                <w:rFonts w:eastAsia="MS Mincho"/>
                <w:bCs/>
                <w:i/>
                <w:iCs/>
              </w:rPr>
            </w:pPr>
            <w:r w:rsidRPr="00EF10DE">
              <w:rPr>
                <w:rFonts w:eastAsia="MS Mincho"/>
                <w:bCs/>
                <w:i/>
                <w:iCs/>
              </w:rPr>
              <w:t>К1</w:t>
            </w:r>
          </w:p>
        </w:tc>
        <w:tc>
          <w:tcPr>
            <w:tcW w:w="1044"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1613" w:type="pct"/>
            <w:tcBorders>
              <w:bottom w:val="single" w:sz="4" w:space="0" w:color="auto"/>
            </w:tcBorders>
            <w:vAlign w:val="center"/>
          </w:tcPr>
          <w:p w:rsidR="00074819" w:rsidRPr="00EF10DE" w:rsidRDefault="00074819" w:rsidP="00EA777F">
            <w:pPr>
              <w:jc w:val="center"/>
              <w:rPr>
                <w:rFonts w:eastAsia="MS Mincho"/>
              </w:rPr>
            </w:pPr>
            <w:r w:rsidRPr="00EF10DE">
              <w:rPr>
                <w:bCs/>
              </w:rPr>
              <w:t>К1 = (стр. 1300) / (стр.1700)</w:t>
            </w:r>
          </w:p>
        </w:tc>
        <w:tc>
          <w:tcPr>
            <w:tcW w:w="2101" w:type="pct"/>
            <w:tcBorders>
              <w:bottom w:val="single" w:sz="4" w:space="0" w:color="auto"/>
            </w:tcBorders>
            <w:vAlign w:val="center"/>
          </w:tcPr>
          <w:p w:rsidR="00074819" w:rsidRPr="00EF10DE" w:rsidRDefault="00074819" w:rsidP="00EA777F">
            <w:r w:rsidRPr="00EF10DE">
              <w:t>Отношение капитала и резервов организации к итогу баланса и характеризует независимость Заемщика от заемного капитала.</w:t>
            </w:r>
          </w:p>
        </w:tc>
      </w:tr>
      <w:tr w:rsidR="00074819" w:rsidRPr="00EF10DE" w:rsidTr="00EA777F">
        <w:trPr>
          <w:cantSplit/>
          <w:trHeight w:val="67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К2</w:t>
            </w:r>
          </w:p>
        </w:tc>
        <w:tc>
          <w:tcPr>
            <w:tcW w:w="1044" w:type="pct"/>
            <w:vAlign w:val="center"/>
          </w:tcPr>
          <w:p w:rsidR="00074819" w:rsidRPr="00EF10DE" w:rsidRDefault="00074819" w:rsidP="00EA777F">
            <w:r w:rsidRPr="00EF10DE">
              <w:t>Коэффициент обеспеченности собственными оборотными средствами</w:t>
            </w:r>
          </w:p>
        </w:tc>
        <w:tc>
          <w:tcPr>
            <w:tcW w:w="1613" w:type="pct"/>
            <w:vAlign w:val="center"/>
          </w:tcPr>
          <w:p w:rsidR="00074819" w:rsidRPr="00EF10DE" w:rsidRDefault="00074819" w:rsidP="00EA777F">
            <w:pPr>
              <w:jc w:val="center"/>
              <w:rPr>
                <w:bCs/>
              </w:rPr>
            </w:pPr>
            <w:r w:rsidRPr="00EF10DE">
              <w:rPr>
                <w:bCs/>
              </w:rPr>
              <w:t>К2 = (стр.1300–стр.1100) / (стр.1200)</w:t>
            </w:r>
          </w:p>
        </w:tc>
        <w:tc>
          <w:tcPr>
            <w:tcW w:w="2101" w:type="pct"/>
            <w:vAlign w:val="center"/>
          </w:tcPr>
          <w:p w:rsidR="00074819" w:rsidRPr="00EF10DE" w:rsidRDefault="00074819" w:rsidP="00EA777F">
            <w:pPr>
              <w:rPr>
                <w:rFonts w:eastAsia="MS Mincho"/>
              </w:rPr>
            </w:pPr>
            <w:r w:rsidRPr="00EF10DE">
              <w:t>Отношение разности по статьям: капиталы и резервы организации и внеоборотные активы к оборотным активам.</w:t>
            </w:r>
          </w:p>
        </w:tc>
      </w:tr>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i/>
                <w:iCs/>
              </w:rPr>
              <w:t>К3</w:t>
            </w:r>
          </w:p>
        </w:tc>
        <w:tc>
          <w:tcPr>
            <w:tcW w:w="1044" w:type="pct"/>
            <w:vAlign w:val="center"/>
          </w:tcPr>
          <w:p w:rsidR="00074819" w:rsidRPr="00EF10DE" w:rsidRDefault="00074819" w:rsidP="00EA777F">
            <w:pPr>
              <w:rPr>
                <w:rFonts w:eastAsia="MS Mincho"/>
                <w:bCs/>
              </w:rPr>
            </w:pPr>
            <w:r w:rsidRPr="00EF10DE">
              <w:t>Коэффициент текущей ликвидности</w:t>
            </w:r>
          </w:p>
        </w:tc>
        <w:tc>
          <w:tcPr>
            <w:tcW w:w="1613" w:type="pct"/>
            <w:vAlign w:val="center"/>
          </w:tcPr>
          <w:p w:rsidR="00074819" w:rsidRPr="00EF10DE" w:rsidRDefault="00074819" w:rsidP="00EA777F">
            <w:pPr>
              <w:jc w:val="center"/>
              <w:rPr>
                <w:bCs/>
                <w:spacing w:val="-3"/>
              </w:rPr>
            </w:pPr>
            <w:r w:rsidRPr="00EF10DE">
              <w:rPr>
                <w:bCs/>
              </w:rPr>
              <w:t>К3 =(стр.1200 – просроченная Дт задолженность*) / (стр.1500)</w:t>
            </w:r>
          </w:p>
        </w:tc>
        <w:tc>
          <w:tcPr>
            <w:tcW w:w="2101" w:type="pct"/>
            <w:vAlign w:val="center"/>
          </w:tcPr>
          <w:p w:rsidR="00074819" w:rsidRPr="00EF10DE" w:rsidRDefault="00074819" w:rsidP="00EA777F">
            <w:pPr>
              <w:ind w:hanging="20"/>
              <w:rPr>
                <w:bCs/>
                <w:spacing w:val="-3"/>
              </w:rPr>
            </w:pPr>
            <w:r w:rsidRPr="00EF10DE">
              <w:t>Отношение общей суммы оборотных активов к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К4</w:t>
            </w:r>
          </w:p>
        </w:tc>
        <w:tc>
          <w:tcPr>
            <w:tcW w:w="1044" w:type="pct"/>
            <w:vAlign w:val="center"/>
          </w:tcPr>
          <w:p w:rsidR="00074819" w:rsidRPr="00EF10DE" w:rsidRDefault="00074819" w:rsidP="00EA777F">
            <w:r w:rsidRPr="00EF10DE">
              <w:t>Коэффициент срочной ликвидности</w:t>
            </w:r>
          </w:p>
        </w:tc>
        <w:tc>
          <w:tcPr>
            <w:tcW w:w="1613" w:type="pct"/>
            <w:vAlign w:val="center"/>
          </w:tcPr>
          <w:p w:rsidR="00074819" w:rsidRPr="00EF10DE" w:rsidRDefault="00074819" w:rsidP="00EA777F">
            <w:pPr>
              <w:jc w:val="center"/>
              <w:rPr>
                <w:bCs/>
              </w:rPr>
            </w:pPr>
            <w:r w:rsidRPr="00EF10DE">
              <w:rPr>
                <w:bCs/>
              </w:rPr>
              <w:t>К4= (стр.1230+стр.1240 +стр.1250) /</w:t>
            </w:r>
          </w:p>
          <w:p w:rsidR="00074819" w:rsidRPr="00EF10DE" w:rsidRDefault="00074819" w:rsidP="00EA777F">
            <w:pPr>
              <w:jc w:val="center"/>
              <w:rPr>
                <w:bCs/>
              </w:rPr>
            </w:pPr>
            <w:r w:rsidRPr="00EF10DE">
              <w:rPr>
                <w:bCs/>
              </w:rPr>
              <w:t>(стр.1500 -стр.1530- стр.1540)</w:t>
            </w:r>
          </w:p>
        </w:tc>
        <w:tc>
          <w:tcPr>
            <w:tcW w:w="2101" w:type="pct"/>
            <w:vAlign w:val="center"/>
          </w:tcPr>
          <w:p w:rsidR="00074819" w:rsidRPr="00EF10DE" w:rsidRDefault="00074819" w:rsidP="00EA777F">
            <w:pPr>
              <w:rPr>
                <w:rFonts w:eastAsia="MS Mincho"/>
              </w:rPr>
            </w:pPr>
            <w:r w:rsidRPr="00EF10DE">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К5</w:t>
            </w:r>
          </w:p>
        </w:tc>
        <w:tc>
          <w:tcPr>
            <w:tcW w:w="1044" w:type="pct"/>
            <w:vAlign w:val="center"/>
          </w:tcPr>
          <w:p w:rsidR="00074819" w:rsidRPr="00EF10DE" w:rsidRDefault="00074819" w:rsidP="00EA777F">
            <w:r w:rsidRPr="00EF10DE">
              <w:t>Рентабельность продаж</w:t>
            </w:r>
          </w:p>
        </w:tc>
        <w:tc>
          <w:tcPr>
            <w:tcW w:w="1613" w:type="pct"/>
            <w:vAlign w:val="center"/>
          </w:tcPr>
          <w:p w:rsidR="00074819" w:rsidRPr="00EF10DE" w:rsidRDefault="00074819" w:rsidP="00EA777F">
            <w:pPr>
              <w:jc w:val="center"/>
              <w:rPr>
                <w:bCs/>
                <w:u w:val="single"/>
              </w:rPr>
            </w:pPr>
            <w:r w:rsidRPr="00EF10DE">
              <w:rPr>
                <w:bCs/>
              </w:rPr>
              <w:t>К5 = стр. 2200 / стр. 2110**</w:t>
            </w:r>
          </w:p>
        </w:tc>
        <w:tc>
          <w:tcPr>
            <w:tcW w:w="2101" w:type="pct"/>
            <w:vAlign w:val="center"/>
          </w:tcPr>
          <w:p w:rsidR="00074819" w:rsidRPr="00EF10DE" w:rsidRDefault="00074819" w:rsidP="00EA777F">
            <w:r w:rsidRPr="00EF10DE">
              <w:t>Отношение прибыли от продаж к выручке от продажи товаров, продукции, работ,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К6</w:t>
            </w:r>
          </w:p>
        </w:tc>
        <w:tc>
          <w:tcPr>
            <w:tcW w:w="1044" w:type="pct"/>
            <w:vAlign w:val="center"/>
          </w:tcPr>
          <w:p w:rsidR="00074819" w:rsidRPr="00EF10DE" w:rsidRDefault="00074819" w:rsidP="00EA777F">
            <w:r w:rsidRPr="00EF10DE">
              <w:t xml:space="preserve">Рентабельность реализации продукции </w:t>
            </w:r>
          </w:p>
        </w:tc>
        <w:tc>
          <w:tcPr>
            <w:tcW w:w="1613" w:type="pct"/>
            <w:vAlign w:val="center"/>
          </w:tcPr>
          <w:p w:rsidR="00074819" w:rsidRPr="00EF10DE" w:rsidRDefault="00074819" w:rsidP="00EA777F">
            <w:pPr>
              <w:jc w:val="center"/>
              <w:rPr>
                <w:bCs/>
              </w:rPr>
            </w:pPr>
            <w:r w:rsidRPr="00EF10DE">
              <w:rPr>
                <w:bCs/>
              </w:rPr>
              <w:t>К6 = стр. 2400 / стр. 2110**</w:t>
            </w:r>
          </w:p>
        </w:tc>
        <w:tc>
          <w:tcPr>
            <w:tcW w:w="2101" w:type="pct"/>
            <w:vAlign w:val="center"/>
          </w:tcPr>
          <w:p w:rsidR="00074819" w:rsidRPr="00EF10DE" w:rsidRDefault="00074819" w:rsidP="00EA777F">
            <w:r w:rsidRPr="00EF10DE">
              <w:t>Отношение чистой прибыли к выручке от продаж.</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lastRenderedPageBreak/>
              <w:t>К7</w:t>
            </w:r>
          </w:p>
        </w:tc>
        <w:tc>
          <w:tcPr>
            <w:tcW w:w="1044" w:type="pct"/>
            <w:vAlign w:val="center"/>
          </w:tcPr>
          <w:p w:rsidR="00074819" w:rsidRPr="00EF10DE" w:rsidRDefault="00074819" w:rsidP="00EA777F">
            <w:r w:rsidRPr="00EF10DE">
              <w:t>Оборачиваемость товарно-материальных запасов</w:t>
            </w:r>
          </w:p>
        </w:tc>
        <w:tc>
          <w:tcPr>
            <w:tcW w:w="1613" w:type="pct"/>
            <w:vAlign w:val="center"/>
          </w:tcPr>
          <w:p w:rsidR="00074819" w:rsidRPr="00EF10DE" w:rsidRDefault="00074819" w:rsidP="00EA777F">
            <w:pPr>
              <w:jc w:val="center"/>
              <w:rPr>
                <w:rFonts w:eastAsia="MS Mincho"/>
              </w:rPr>
            </w:pPr>
            <w:r w:rsidRPr="00EF10DE">
              <w:rPr>
                <w:bCs/>
              </w:rPr>
              <w:t xml:space="preserve">К7 = (стр. 1520 - расходы будущих периодов) * </w:t>
            </w:r>
            <w:r w:rsidRPr="00EF10DE">
              <w:rPr>
                <w:bCs/>
                <w:i/>
                <w:iCs/>
              </w:rPr>
              <w:t>длительность периода</w:t>
            </w:r>
            <w:r w:rsidRPr="00EF10DE">
              <w:rPr>
                <w:bCs/>
                <w:i/>
                <w:iCs/>
              </w:rPr>
              <w:br/>
              <w:t xml:space="preserve"> (в днях) / </w:t>
            </w:r>
            <w:r w:rsidRPr="00EF10DE">
              <w:rPr>
                <w:bCs/>
              </w:rPr>
              <w:t>стр. 2120**</w:t>
            </w:r>
          </w:p>
        </w:tc>
        <w:tc>
          <w:tcPr>
            <w:tcW w:w="2101" w:type="pct"/>
            <w:vAlign w:val="center"/>
          </w:tcPr>
          <w:p w:rsidR="00074819" w:rsidRPr="00EF10DE" w:rsidRDefault="00074819" w:rsidP="00EA777F">
            <w:r w:rsidRPr="00EF10DE">
              <w:t>Отношение величины запасов умноженной на длительность периода в днях к себестоимости проданных товаров, продукции,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К8</w:t>
            </w:r>
          </w:p>
        </w:tc>
        <w:tc>
          <w:tcPr>
            <w:tcW w:w="1044" w:type="pct"/>
            <w:vAlign w:val="center"/>
          </w:tcPr>
          <w:p w:rsidR="00074819" w:rsidRPr="00EF10DE" w:rsidRDefault="00074819" w:rsidP="00EA777F">
            <w:r w:rsidRPr="00EF10DE">
              <w:t xml:space="preserve">Оборачиваемость дебиторской задолженности </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К8 = стр. 1520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сбыта продукции.</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К9</w:t>
            </w:r>
          </w:p>
        </w:tc>
        <w:tc>
          <w:tcPr>
            <w:tcW w:w="1044" w:type="pct"/>
            <w:vAlign w:val="center"/>
          </w:tcPr>
          <w:p w:rsidR="00074819" w:rsidRPr="00EF10DE" w:rsidRDefault="00074819" w:rsidP="00EA777F">
            <w:r w:rsidRPr="00EF10DE">
              <w:t>Оборачиваемость кредиторской задолженности</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К9 = стр. 1230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выполнения обязательств в отношении поставщиков, бюджета, персонала.</w:t>
            </w:r>
          </w:p>
        </w:tc>
      </w:tr>
    </w:tbl>
    <w:p w:rsidR="00074819" w:rsidRPr="00EF10DE" w:rsidRDefault="00074819" w:rsidP="00074819">
      <w:pPr>
        <w:tabs>
          <w:tab w:val="left" w:pos="0"/>
          <w:tab w:val="left" w:pos="720"/>
        </w:tabs>
        <w:ind w:right="-58"/>
        <w:jc w:val="both"/>
        <w:rPr>
          <w:i/>
          <w:iCs/>
        </w:rPr>
      </w:pPr>
      <w:r w:rsidRPr="00EF10DE">
        <w:rPr>
          <w:i/>
        </w:rPr>
        <w:t>*При наличии информации о просроченной задолженности на момент анализа</w:t>
      </w:r>
    </w:p>
    <w:p w:rsidR="00074819" w:rsidRDefault="00074819" w:rsidP="00074819">
      <w:pPr>
        <w:tabs>
          <w:tab w:val="left" w:pos="0"/>
          <w:tab w:val="left" w:pos="720"/>
        </w:tabs>
        <w:spacing w:after="240"/>
        <w:ind w:right="-57"/>
        <w:jc w:val="both"/>
        <w:rPr>
          <w:i/>
          <w:iCs/>
        </w:rPr>
      </w:pPr>
      <w:r w:rsidRPr="00EF10DE">
        <w:rPr>
          <w:i/>
        </w:rPr>
        <w:t>**</w:t>
      </w:r>
      <w:r w:rsidRPr="00EF10DE">
        <w:rPr>
          <w:i/>
          <w:iCs/>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074819" w:rsidRPr="00BA5829" w:rsidRDefault="00074819" w:rsidP="00074819">
      <w:pPr>
        <w:rPr>
          <w:b/>
          <w:i/>
          <w:sz w:val="24"/>
          <w:szCs w:val="24"/>
        </w:rPr>
      </w:pPr>
      <w:r w:rsidRPr="00BA5829">
        <w:rPr>
          <w:b/>
          <w:i/>
          <w:sz w:val="24"/>
          <w:szCs w:val="24"/>
        </w:rPr>
        <w:t>Таблица 4.2. Правила расчёта коэффициентов</w:t>
      </w:r>
      <w:r>
        <w:rPr>
          <w:b/>
          <w:i/>
          <w:sz w:val="24"/>
          <w:szCs w:val="24"/>
        </w:rPr>
        <w:t xml:space="preserve"> </w:t>
      </w:r>
      <w:r w:rsidRPr="00BA5829">
        <w:rPr>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56"/>
        <w:gridCol w:w="4307"/>
        <w:gridCol w:w="2954"/>
      </w:tblGrid>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Формула расчета</w:t>
            </w:r>
          </w:p>
          <w:p w:rsidR="00074819" w:rsidRPr="00B67C20" w:rsidRDefault="00074819" w:rsidP="00EA777F">
            <w:pPr>
              <w:jc w:val="center"/>
              <w:rPr>
                <w:bCs/>
                <w:spacing w:val="-3"/>
              </w:rPr>
            </w:pPr>
            <w:r w:rsidRPr="00B67C20">
              <w:rPr>
                <w:bCs/>
                <w:spacing w:val="-3"/>
              </w:rPr>
              <w:t xml:space="preserve">(с использованием данных строк </w:t>
            </w:r>
            <w:r>
              <w:rPr>
                <w:bCs/>
                <w:spacing w:val="-3"/>
              </w:rPr>
              <w:t>используемой отчетности</w:t>
            </w:r>
            <w:r w:rsidRPr="00B67C20">
              <w:rPr>
                <w:bCs/>
                <w:spacing w:val="-3"/>
              </w:rP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bCs/>
                <w:spacing w:val="-3"/>
              </w:rPr>
            </w:pPr>
            <w:r>
              <w:t>Вид отчетности</w:t>
            </w:r>
          </w:p>
        </w:tc>
      </w:tr>
      <w:tr w:rsidR="00074819" w:rsidRPr="00B67C20" w:rsidTr="00EA777F">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jc w:val="both"/>
              <w:rPr>
                <w:bCs/>
              </w:rPr>
            </w:pPr>
            <w:r w:rsidRPr="008D3667">
              <w:rPr>
                <w:bCs/>
              </w:rPr>
              <w:t xml:space="preserve">К1 = </w:t>
            </w:r>
            <w:r>
              <w:rPr>
                <w:bCs/>
              </w:rPr>
              <w:t>(</w:t>
            </w:r>
            <w:r w:rsidRPr="00DC41EE">
              <w:t>стр. 52</w:t>
            </w:r>
            <w:r>
              <w:t>)</w:t>
            </w:r>
            <w:r w:rsidRPr="00DC41EE">
              <w:t xml:space="preserve"> «Итого капитала»</w:t>
            </w:r>
            <w:r>
              <w:t xml:space="preserve"> </w:t>
            </w:r>
            <w:r w:rsidRPr="008D3667">
              <w:rPr>
                <w:bCs/>
              </w:rPr>
              <w:t xml:space="preserve">/ </w:t>
            </w:r>
          </w:p>
          <w:p w:rsidR="00074819" w:rsidRPr="008D3667" w:rsidRDefault="00074819" w:rsidP="00EA777F">
            <w:pPr>
              <w:jc w:val="both"/>
              <w:rPr>
                <w:rFonts w:eastAsia="MS Mincho"/>
              </w:rPr>
            </w:pPr>
            <w:r>
              <w:t>(</w:t>
            </w:r>
            <w:r w:rsidRPr="00DC41EE">
              <w:t>стр. 53</w:t>
            </w:r>
            <w:r>
              <w:t>)</w:t>
            </w:r>
            <w:r w:rsidRPr="00DC41EE">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DC41EE" w:rsidRDefault="00074819" w:rsidP="00EA777F">
            <w:pPr>
              <w:rPr>
                <w:bCs/>
              </w:rPr>
            </w:pPr>
            <w:r>
              <w:rPr>
                <w:bCs/>
              </w:rPr>
              <w:t xml:space="preserve">1. </w:t>
            </w:r>
            <w:r w:rsidRPr="00DC41EE">
              <w:rPr>
                <w:bCs/>
              </w:rPr>
              <w:t>Бухгалтерский баланс НФО на отчётную дату</w:t>
            </w:r>
          </w:p>
        </w:tc>
      </w:tr>
      <w:tr w:rsidR="00074819" w:rsidRPr="00B67C20" w:rsidTr="00EA777F">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rPr>
                <w:bCs/>
              </w:rPr>
            </w:pPr>
            <w:r w:rsidRPr="00B67C20">
              <w:rPr>
                <w:bCs/>
              </w:rPr>
              <w:t xml:space="preserve">К2 = </w:t>
            </w: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Размер собственных средств</w:t>
            </w:r>
            <w:r>
              <w:t>»</w:t>
            </w:r>
            <w:r w:rsidRPr="00DC41EE">
              <w:t xml:space="preserve"> / </w:t>
            </w:r>
          </w:p>
          <w:p w:rsidR="00074819" w:rsidRPr="00B67C20" w:rsidRDefault="00074819" w:rsidP="00EA777F">
            <w:pPr>
              <w:rPr>
                <w:bCs/>
              </w:rPr>
            </w:pP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Суммарная стоимость пассивов</w:t>
            </w:r>
            <w: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tc>
      </w:tr>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i/>
              </w:rPr>
            </w:pPr>
            <w:r w:rsidRPr="00B67C20">
              <w:rPr>
                <w:i/>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spacing w:val="-3"/>
              </w:rPr>
            </w:pPr>
            <w:r>
              <w:rPr>
                <w:bCs/>
              </w:rPr>
              <w:t>К3 = стр. «Р</w:t>
            </w:r>
            <w:r w:rsidRPr="00B67C20">
              <w:rPr>
                <w:bCs/>
              </w:rPr>
              <w:t>асчет размера собственных средств профессионального участника рынка ценных бумаг - Суммарная стоимость активов</w:t>
            </w:r>
            <w:r>
              <w:rPr>
                <w:bCs/>
              </w:rPr>
              <w:t>»</w:t>
            </w:r>
            <w:r w:rsidRPr="00B67C20">
              <w:rPr>
                <w:bCs/>
              </w:rPr>
              <w:t xml:space="preserve"> / (стр.22) </w:t>
            </w:r>
            <w:r>
              <w:rPr>
                <w:bCs/>
              </w:rPr>
              <w:t>«</w:t>
            </w:r>
            <w:r w:rsidRPr="00B67C20">
              <w:rPr>
                <w:bCs/>
              </w:rPr>
              <w:t>Итого активов</w:t>
            </w:r>
            <w:r>
              <w:rPr>
                <w:bCs/>
              </w:rPr>
              <w:t>»</w:t>
            </w:r>
          </w:p>
        </w:tc>
        <w:tc>
          <w:tcPr>
            <w:tcW w:w="1596" w:type="pct"/>
            <w:tcBorders>
              <w:top w:val="single" w:sz="4" w:space="0" w:color="auto"/>
              <w:left w:val="single" w:sz="4" w:space="0" w:color="auto"/>
              <w:bottom w:val="single" w:sz="4" w:space="0" w:color="auto"/>
              <w:right w:val="single" w:sz="4" w:space="0" w:color="auto"/>
            </w:tcBorders>
          </w:tcPr>
          <w:p w:rsidR="00074819"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p w:rsidR="00074819" w:rsidRPr="00B67C20" w:rsidRDefault="00074819" w:rsidP="00EA777F">
            <w:pPr>
              <w:rPr>
                <w:bCs/>
              </w:rPr>
            </w:pPr>
            <w:r>
              <w:rPr>
                <w:bCs/>
              </w:rPr>
              <w:t>2. Бухгалтерский баланс НФО на отчётную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К4</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К4</w:t>
            </w:r>
            <w:r w:rsidRPr="00B67C20">
              <w:rPr>
                <w:bCs/>
              </w:rPr>
              <w:t xml:space="preserve"> </w:t>
            </w:r>
            <w:r w:rsidRPr="00376F60">
              <w:rPr>
                <w:bCs/>
              </w:rPr>
              <w:t xml:space="preserve">= </w:t>
            </w:r>
            <w:r>
              <w:rPr>
                <w:bCs/>
              </w:rPr>
              <w:t>(</w:t>
            </w:r>
            <w:r>
              <w:t>(</w:t>
            </w:r>
            <w:r w:rsidRPr="00DC41EE">
              <w:t>с</w:t>
            </w:r>
            <w:r w:rsidRPr="00DC41EE">
              <w:rPr>
                <w:bCs/>
              </w:rPr>
              <w:t>тр. 29</w:t>
            </w:r>
            <w:r>
              <w:rPr>
                <w:bCs/>
              </w:rPr>
              <w:t>) «</w:t>
            </w:r>
            <w:r w:rsidRPr="00B67C20">
              <w:rPr>
                <w:bCs/>
              </w:rPr>
              <w:t>Прибыль (убыток) после налогообложения /</w:t>
            </w:r>
            <w:r>
              <w:rPr>
                <w:bCs/>
              </w:rPr>
              <w:t xml:space="preserve"> </w:t>
            </w:r>
            <w:r w:rsidRPr="00B67C20">
              <w:rPr>
                <w:bCs/>
              </w:rPr>
              <w:t xml:space="preserve">количество кварталов в </w:t>
            </w:r>
            <w:r>
              <w:rPr>
                <w:bCs/>
              </w:rPr>
              <w:t xml:space="preserve"> рассматриваемом </w:t>
            </w:r>
            <w:r w:rsidRPr="00B67C20">
              <w:rPr>
                <w:bCs/>
              </w:rPr>
              <w:t xml:space="preserve"> периоде</w:t>
            </w:r>
            <w:r>
              <w:rPr>
                <w:bCs/>
              </w:rPr>
              <w:t xml:space="preserve">  </w:t>
            </w:r>
            <w:r w:rsidRPr="00B67C20">
              <w:rPr>
                <w:bCs/>
              </w:rPr>
              <w:t xml:space="preserve">* 4 / (средняя сумма активов (стр. 22) </w:t>
            </w:r>
            <w:r>
              <w:rPr>
                <w:bCs/>
              </w:rPr>
              <w:t>«Итого активов»</w:t>
            </w:r>
            <w:r w:rsidRPr="00B67C20">
              <w:rPr>
                <w:bCs/>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DC41EE" w:rsidRDefault="00074819" w:rsidP="00EA777F">
            <w:r>
              <w:t xml:space="preserve">1. </w:t>
            </w:r>
            <w:r w:rsidRPr="00DC41EE">
              <w:t>Отчёт о финансовых результатах НФО за текущий календарный год</w:t>
            </w:r>
          </w:p>
          <w:p w:rsidR="00074819" w:rsidRPr="00837D65" w:rsidRDefault="00074819" w:rsidP="00EA777F">
            <w:pPr>
              <w:rPr>
                <w:bCs/>
                <w:i/>
              </w:rPr>
            </w:pPr>
            <w:r>
              <w:t xml:space="preserve">2. </w:t>
            </w:r>
            <w:r w:rsidRPr="00DC41EE">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К5</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К5</w:t>
            </w:r>
            <w:r w:rsidRPr="00B67C20">
              <w:rPr>
                <w:bCs/>
              </w:rPr>
              <w:t xml:space="preserve"> = </w:t>
            </w:r>
            <w:r>
              <w:rPr>
                <w:bCs/>
              </w:rPr>
              <w:t>(</w:t>
            </w:r>
            <w:r>
              <w:t>(</w:t>
            </w:r>
            <w:r w:rsidRPr="005376F7">
              <w:t>с</w:t>
            </w:r>
            <w:r w:rsidRPr="005376F7">
              <w:rPr>
                <w:bCs/>
              </w:rPr>
              <w:t>тр. 29</w:t>
            </w:r>
            <w:r>
              <w:rPr>
                <w:bCs/>
              </w:rPr>
              <w:t xml:space="preserve">) </w:t>
            </w:r>
            <w:r>
              <w:t>«</w:t>
            </w:r>
            <w:r w:rsidRPr="00B67C20">
              <w:rPr>
                <w:bCs/>
              </w:rPr>
              <w:t>Прибыль (убыток) после налогообложения</w:t>
            </w:r>
            <w:r>
              <w:rPr>
                <w:bCs/>
              </w:rPr>
              <w:t>»</w:t>
            </w:r>
            <w:r w:rsidRPr="00B67C20">
              <w:rPr>
                <w:bCs/>
              </w:rPr>
              <w:t xml:space="preserve"> /</w:t>
            </w:r>
            <w:r>
              <w:rPr>
                <w:bCs/>
              </w:rPr>
              <w:t xml:space="preserve"> </w:t>
            </w:r>
            <w:r w:rsidRPr="00B67C20">
              <w:rPr>
                <w:bCs/>
              </w:rPr>
              <w:t xml:space="preserve">количество кварталов в </w:t>
            </w:r>
            <w:r>
              <w:rPr>
                <w:bCs/>
              </w:rPr>
              <w:t xml:space="preserve">рассматриваемом </w:t>
            </w:r>
            <w:r w:rsidRPr="00B67C20">
              <w:rPr>
                <w:bCs/>
              </w:rPr>
              <w:t xml:space="preserve"> периоде</w:t>
            </w:r>
            <w:r>
              <w:rPr>
                <w:bCs/>
              </w:rPr>
              <w:t xml:space="preserve"> </w:t>
            </w:r>
            <w:r w:rsidRPr="00B67C20">
              <w:rPr>
                <w:bCs/>
              </w:rPr>
              <w:t xml:space="preserve">* 4) / (средняя сумма капитала (стр. 52) </w:t>
            </w:r>
            <w:r>
              <w:rPr>
                <w:bCs/>
              </w:rPr>
              <w:t xml:space="preserve">«Итого капитала» </w:t>
            </w:r>
            <w:r w:rsidRPr="00B67C20">
              <w:rPr>
                <w:bCs/>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5376F7" w:rsidRDefault="00074819" w:rsidP="00EA777F">
            <w:r>
              <w:t xml:space="preserve">1. </w:t>
            </w:r>
            <w:r w:rsidRPr="005376F7">
              <w:t>Отчёт о финансовых результатах НФО за текущий календарный год</w:t>
            </w:r>
          </w:p>
          <w:p w:rsidR="00074819" w:rsidRPr="00B67C20" w:rsidRDefault="00074819" w:rsidP="00EA777F">
            <w:pPr>
              <w:jc w:val="both"/>
              <w:rPr>
                <w:bCs/>
                <w:i/>
              </w:rPr>
            </w:pPr>
            <w:r>
              <w:t xml:space="preserve">2. </w:t>
            </w:r>
            <w:r w:rsidRPr="005376F7">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К6</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sidRPr="00B67C20">
              <w:rPr>
                <w:bCs/>
              </w:rPr>
              <w:t xml:space="preserve">К6 = </w:t>
            </w:r>
            <w:r w:rsidRPr="00DC41EE">
              <w:rPr>
                <w:bCs/>
              </w:rPr>
              <w:t xml:space="preserve"> </w:t>
            </w:r>
            <w:r w:rsidRPr="00B67C20">
              <w:rPr>
                <w:bCs/>
              </w:rPr>
              <w:t>Расходы на обслуживание долга (статья ОПУ</w:t>
            </w:r>
            <w:r w:rsidRPr="00DC41EE">
              <w:rPr>
                <w:bCs/>
              </w:rPr>
              <w:t xml:space="preserve"> «</w:t>
            </w:r>
            <w:r w:rsidRPr="00B67C20">
              <w:rPr>
                <w:bCs/>
              </w:rPr>
              <w:t xml:space="preserve">Процентные расходы» (стр. 18)) / Чистый доход от операционной </w:t>
            </w:r>
            <w:r w:rsidRPr="00DC41EE">
              <w:rPr>
                <w:bCs/>
              </w:rPr>
              <w:t xml:space="preserve"> </w:t>
            </w:r>
            <w:r w:rsidRPr="00B67C20">
              <w:rPr>
                <w:bCs/>
              </w:rPr>
              <w:t>деятельности (статья ОПУ</w:t>
            </w:r>
            <w:r w:rsidRPr="00DC41EE">
              <w:rPr>
                <w:bCs/>
              </w:rPr>
              <w:t xml:space="preserve"> «</w:t>
            </w:r>
            <w:r w:rsidRPr="00B67C20">
              <w:rPr>
                <w:bCs/>
              </w:rPr>
              <w:t>Торговые и инвестиционные доходы» (стр. 1) + статья ОПУ</w:t>
            </w:r>
            <w:r w:rsidRPr="00DC41EE">
              <w:rPr>
                <w:bCs/>
              </w:rPr>
              <w:t xml:space="preserve"> « П</w:t>
            </w:r>
            <w:r w:rsidRPr="00B67C20">
              <w:rPr>
                <w:bCs/>
              </w:rPr>
              <w:t>роцентные доходы» (стр. 4) + статья ОПУ</w:t>
            </w:r>
            <w:r w:rsidRPr="00DC41EE">
              <w:rPr>
                <w:bCs/>
              </w:rPr>
              <w:t xml:space="preserve"> « </w:t>
            </w:r>
            <w:r w:rsidRPr="00B67C20">
              <w:rPr>
                <w:bCs/>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rPr>
                <w:bCs/>
              </w:rPr>
            </w:pPr>
            <w:r>
              <w:t xml:space="preserve">1. </w:t>
            </w:r>
            <w:r w:rsidRPr="005376F7">
              <w:t>Отчёт о финансовых результатах НФО за текущий календарный год</w:t>
            </w:r>
          </w:p>
        </w:tc>
      </w:tr>
    </w:tbl>
    <w:p w:rsidR="00074819" w:rsidRPr="00BA5829" w:rsidRDefault="00074819" w:rsidP="00074819">
      <w:pPr>
        <w:tabs>
          <w:tab w:val="left" w:pos="0"/>
          <w:tab w:val="left" w:pos="720"/>
        </w:tabs>
        <w:spacing w:after="240"/>
        <w:ind w:right="-57"/>
        <w:jc w:val="both"/>
        <w:rPr>
          <w:iCs/>
        </w:rPr>
      </w:pPr>
    </w:p>
    <w:p w:rsidR="00074819"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задолженности </w:t>
      </w:r>
      <w:r>
        <w:rPr>
          <w:rFonts w:ascii="Times New Roman" w:hAnsi="Times New Roman"/>
          <w:b/>
          <w:sz w:val="24"/>
          <w:szCs w:val="24"/>
        </w:rPr>
        <w:t>(контрагенты - физические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Pr>
          <w:sz w:val="24"/>
          <w:szCs w:val="24"/>
        </w:rPr>
        <w:t>а</w:t>
      </w:r>
      <w:r w:rsidRPr="00EF00D0">
        <w:rPr>
          <w:sz w:val="24"/>
          <w:szCs w:val="24"/>
        </w:rPr>
        <w:t xml:space="preserve">) </w:t>
      </w:r>
      <w:r>
        <w:rPr>
          <w:sz w:val="24"/>
          <w:szCs w:val="24"/>
        </w:rPr>
        <w:t xml:space="preserve">При отсутствии просрочки </w:t>
      </w:r>
      <w:r w:rsidRPr="00EF00D0">
        <w:rPr>
          <w:sz w:val="24"/>
          <w:szCs w:val="24"/>
        </w:rPr>
        <w:t>расчет производится по следующей формуле:</w:t>
      </w:r>
    </w:p>
    <w:p w:rsidR="00074819" w:rsidRPr="00D41A1C" w:rsidRDefault="00381153" w:rsidP="00074819">
      <w:pPr>
        <w:pStyle w:val="a3"/>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(4</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lastRenderedPageBreak/>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w:t>
      </w:r>
      <w:r w:rsidRPr="00EF00D0">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3"/>
      </w:r>
      <w:r>
        <w:rPr>
          <w:sz w:val="24"/>
          <w:szCs w:val="24"/>
        </w:rPr>
        <w:t>.</w:t>
      </w:r>
    </w:p>
    <w:p w:rsidR="00074819" w:rsidRDefault="00074819" w:rsidP="00074819">
      <w:pPr>
        <w:ind w:left="720"/>
        <w:jc w:val="both"/>
        <w:rPr>
          <w:sz w:val="24"/>
          <w:szCs w:val="24"/>
        </w:rPr>
      </w:pPr>
    </w:p>
    <w:p w:rsidR="00074819" w:rsidRPr="00EF10DE" w:rsidRDefault="00074819" w:rsidP="00074819">
      <w:pPr>
        <w:spacing w:before="120" w:after="120"/>
        <w:contextualSpacing/>
        <w:jc w:val="both"/>
        <w:rPr>
          <w:sz w:val="24"/>
          <w:szCs w:val="24"/>
        </w:rPr>
      </w:pPr>
      <w:r>
        <w:rPr>
          <w:sz w:val="24"/>
          <w:szCs w:val="24"/>
        </w:rPr>
        <w:t>б</w:t>
      </w:r>
      <w:r w:rsidRPr="00EF00D0">
        <w:rPr>
          <w:sz w:val="24"/>
          <w:szCs w:val="24"/>
        </w:rPr>
        <w:t xml:space="preserve">) </w:t>
      </w:r>
      <w:r>
        <w:rPr>
          <w:sz w:val="24"/>
          <w:szCs w:val="24"/>
        </w:rPr>
        <w:t xml:space="preserve">При возникновении просрочки длительностью в 1 день и </w:t>
      </w:r>
      <w:r w:rsidRPr="00526769">
        <w:rPr>
          <w:sz w:val="24"/>
          <w:szCs w:val="24"/>
        </w:rPr>
        <w:t>более, а также при наличии информации о процедуре банкротства контрагента расчет производится по следующей формуле:</w:t>
      </w:r>
    </w:p>
    <w:p w:rsidR="00074819" w:rsidRPr="00241C31" w:rsidRDefault="00074819" w:rsidP="00074819">
      <w:pPr>
        <w:pStyle w:val="a3"/>
        <w:spacing w:before="120" w:after="120" w:line="240" w:lineRule="auto"/>
        <w:ind w:left="0"/>
        <w:contextualSpacing w:val="0"/>
        <w:jc w:val="both"/>
        <w:rPr>
          <w:rFonts w:ascii="Times New Roman" w:hAnsi="Times New Roman"/>
          <w:b/>
          <w:sz w:val="24"/>
          <w:szCs w:val="24"/>
        </w:rPr>
      </w:pPr>
    </w:p>
    <w:p w:rsidR="00074819" w:rsidRPr="008803FD" w:rsidRDefault="00074819" w:rsidP="00074819">
      <w:pPr>
        <w:pStyle w:val="a3"/>
        <w:spacing w:after="0" w:line="240" w:lineRule="auto"/>
        <w:ind w:left="567"/>
        <w:jc w:val="both"/>
        <w:rPr>
          <w:rFonts w:ascii="Times New Roman" w:hAnsi="Times New Roman"/>
          <w:sz w:val="16"/>
          <w:szCs w:val="16"/>
        </w:rPr>
      </w:pPr>
    </w:p>
    <w:p w:rsidR="00074819" w:rsidRDefault="00381153" w:rsidP="00074819">
      <w:pPr>
        <w:pStyle w:val="a3"/>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074819">
        <w:rPr>
          <w:rFonts w:ascii="Times New Roman" w:hAnsi="Times New Roman"/>
        </w:rPr>
        <w:tab/>
      </w:r>
      <w:r w:rsidR="00074819">
        <w:rPr>
          <w:rFonts w:ascii="Times New Roman" w:hAnsi="Times New Roman"/>
        </w:rPr>
        <w:tab/>
      </w:r>
      <w:r w:rsidR="00074819">
        <w:rPr>
          <w:rFonts w:ascii="Times New Roman" w:hAnsi="Times New Roman"/>
        </w:rPr>
        <w:tab/>
      </w:r>
      <w:r w:rsidR="00074819">
        <w:rPr>
          <w:rFonts w:ascii="Times New Roman" w:hAnsi="Times New Roman"/>
        </w:rPr>
        <w:tab/>
        <w:t>(5)</w:t>
      </w:r>
    </w:p>
    <w:p w:rsidR="00074819" w:rsidRPr="009B2BBA" w:rsidRDefault="00074819" w:rsidP="00074819">
      <w:pPr>
        <w:pStyle w:val="a3"/>
        <w:spacing w:after="0" w:line="240" w:lineRule="auto"/>
        <w:ind w:left="567"/>
        <w:jc w:val="right"/>
        <w:rPr>
          <w:rFonts w:ascii="Times New Roman" w:hAnsi="Times New Roman"/>
          <w:sz w:val="16"/>
          <w:szCs w:val="16"/>
        </w:rPr>
      </w:pPr>
    </w:p>
    <w:p w:rsidR="00074819" w:rsidRDefault="00074819" w:rsidP="00074819">
      <w:pPr>
        <w:jc w:val="both"/>
        <w:rPr>
          <w:sz w:val="24"/>
          <w:szCs w:val="24"/>
        </w:rPr>
      </w:pPr>
      <w:r>
        <w:rPr>
          <w:sz w:val="24"/>
          <w:szCs w:val="24"/>
        </w:rPr>
        <w:t xml:space="preserve">где </w:t>
      </w:r>
      <m:oMath>
        <m:r>
          <w:rPr>
            <w:rFonts w:ascii="Cambria Math" w:hAnsi="Cambria Math"/>
            <w:sz w:val="24"/>
            <w:szCs w:val="24"/>
            <w:lang w:val="en-US"/>
          </w:rPr>
          <m:t>R</m:t>
        </m:r>
      </m:oMath>
      <w:r w:rsidRPr="00EF10DE">
        <w:rPr>
          <w:sz w:val="24"/>
          <w:szCs w:val="24"/>
        </w:rPr>
        <w:t xml:space="preserve"> - размер обеспечения</w:t>
      </w:r>
      <w:r>
        <w:rPr>
          <w:sz w:val="24"/>
          <w:szCs w:val="24"/>
        </w:rPr>
        <w:t xml:space="preserve">; </w:t>
      </w:r>
      <m:oMath>
        <m:r>
          <w:rPr>
            <w:rFonts w:ascii="Cambria Math" w:hAnsi="Cambria Math"/>
            <w:sz w:val="24"/>
            <w:szCs w:val="24"/>
          </w:rPr>
          <m:t>PV</m:t>
        </m:r>
      </m:oMath>
      <w:r w:rsidRPr="00EF10DE">
        <w:rPr>
          <w:sz w:val="24"/>
          <w:szCs w:val="24"/>
        </w:rPr>
        <w:t xml:space="preserve"> - </w:t>
      </w:r>
      <w:r>
        <w:rPr>
          <w:sz w:val="24"/>
          <w:szCs w:val="24"/>
        </w:rPr>
        <w:t>справедливая стоимость актива</w:t>
      </w:r>
      <w:r w:rsidRPr="00EF10DE">
        <w:rPr>
          <w:sz w:val="24"/>
          <w:szCs w:val="24"/>
        </w:rPr>
        <w:t xml:space="preserve"> на отчётную дату</w:t>
      </w:r>
      <w:r>
        <w:rPr>
          <w:sz w:val="24"/>
          <w:szCs w:val="24"/>
        </w:rPr>
        <w:t>.</w:t>
      </w:r>
    </w:p>
    <w:p w:rsidR="00074819" w:rsidRPr="00D06797" w:rsidRDefault="00074819" w:rsidP="00074819">
      <w:pPr>
        <w:jc w:val="both"/>
        <w:rPr>
          <w:rFonts w:eastAsia="Batang"/>
          <w:b/>
          <w:color w:val="000000"/>
          <w:sz w:val="24"/>
          <w:szCs w:val="24"/>
        </w:rPr>
      </w:pPr>
      <w:r>
        <w:rPr>
          <w:sz w:val="24"/>
          <w:szCs w:val="24"/>
        </w:rPr>
        <w:t>3. Коэффициент кредитного качества определяется с точностью до двух знаков после запятой.</w:t>
      </w:r>
    </w:p>
    <w:p w:rsidR="00074819" w:rsidRPr="00526769" w:rsidRDefault="0007481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992280" w:rsidRDefault="00992280"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Pr="00207827" w:rsidRDefault="005467FA" w:rsidP="00207827">
      <w:pPr>
        <w:spacing w:line="276" w:lineRule="auto"/>
        <w:contextualSpacing/>
        <w:jc w:val="both"/>
        <w:rPr>
          <w:rFonts w:eastAsia="Calibri"/>
          <w:sz w:val="24"/>
          <w:szCs w:val="24"/>
          <w:lang w:eastAsia="en-US"/>
        </w:rPr>
      </w:pPr>
    </w:p>
    <w:p w:rsidR="00AE2EEA" w:rsidRPr="00B602F2" w:rsidRDefault="00AE2EEA" w:rsidP="006D7089">
      <w:pPr>
        <w:rPr>
          <w:sz w:val="24"/>
          <w:szCs w:val="24"/>
        </w:rPr>
      </w:pP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4D6268" w:rsidRPr="006D7089">
        <w:rPr>
          <w:rFonts w:ascii="Times New Roman" w:hAnsi="Times New Roman"/>
          <w:b/>
          <w:sz w:val="24"/>
          <w:szCs w:val="24"/>
        </w:rPr>
        <w:t>3</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Закрытое акционерное общество "Санкт-Петербургская Валютная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96"/>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B23" w:rsidRDefault="00F86B23" w:rsidP="003830AE">
      <w:r>
        <w:separator/>
      </w:r>
    </w:p>
  </w:endnote>
  <w:endnote w:type="continuationSeparator" w:id="0">
    <w:p w:rsidR="00F86B23" w:rsidRDefault="00F86B23"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4F" w:rsidRDefault="005C554F">
    <w:pPr>
      <w:pStyle w:val="af2"/>
      <w:jc w:val="right"/>
    </w:pPr>
    <w:r>
      <w:fldChar w:fldCharType="begin"/>
    </w:r>
    <w:r>
      <w:instrText>PAGE   \* MERGEFORMAT</w:instrText>
    </w:r>
    <w:r>
      <w:fldChar w:fldCharType="separate"/>
    </w:r>
    <w:r w:rsidR="00381153">
      <w:rPr>
        <w:noProof/>
      </w:rPr>
      <w:t>2</w:t>
    </w:r>
    <w:r>
      <w:fldChar w:fldCharType="end"/>
    </w:r>
  </w:p>
  <w:p w:rsidR="005C554F" w:rsidRDefault="005C554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B23" w:rsidRDefault="00F86B23" w:rsidP="003830AE">
      <w:r>
        <w:separator/>
      </w:r>
    </w:p>
  </w:footnote>
  <w:footnote w:type="continuationSeparator" w:id="0">
    <w:p w:rsidR="00F86B23" w:rsidRDefault="00F86B23" w:rsidP="003830AE">
      <w:r>
        <w:continuationSeparator/>
      </w:r>
    </w:p>
  </w:footnote>
  <w:footnote w:id="1">
    <w:p w:rsidR="005C554F" w:rsidRPr="009B2BBA" w:rsidRDefault="005C554F" w:rsidP="00074819">
      <w:pPr>
        <w:pStyle w:val="ab"/>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5C554F" w:rsidRPr="001914BA" w:rsidRDefault="005C554F" w:rsidP="00074819">
      <w:pPr>
        <w:pStyle w:val="ab"/>
        <w:rPr>
          <w:rFonts w:ascii="Times New Roman" w:hAnsi="Times New Roman"/>
        </w:rPr>
      </w:pPr>
      <w:r w:rsidRPr="001914BA">
        <w:rPr>
          <w:rStyle w:val="ad"/>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3">
    <w:p w:rsidR="005C554F" w:rsidRPr="009B2BBA" w:rsidRDefault="005C554F" w:rsidP="00074819">
      <w:pPr>
        <w:pStyle w:val="ab"/>
        <w:jc w:val="both"/>
        <w:rPr>
          <w:rFonts w:ascii="Times New Roman" w:hAnsi="Times New Roman"/>
          <w:i/>
        </w:rPr>
      </w:pPr>
      <w:r w:rsidRPr="00D1770B">
        <w:rPr>
          <w:rStyle w:val="ad"/>
        </w:rPr>
        <w:footnoteRef/>
      </w:r>
      <w:r w:rsidRPr="00D1770B">
        <w:rPr>
          <w:rStyle w:val="ad"/>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7">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9">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1">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5">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6">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7">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39">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8">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9">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2">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54">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6">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1">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62">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3">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67">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8">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9">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2">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3">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8">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2">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5">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2">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6">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1">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03">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80"/>
  </w:num>
  <w:num w:numId="3">
    <w:abstractNumId w:val="89"/>
  </w:num>
  <w:num w:numId="4">
    <w:abstractNumId w:val="2"/>
  </w:num>
  <w:num w:numId="5">
    <w:abstractNumId w:val="60"/>
  </w:num>
  <w:num w:numId="6">
    <w:abstractNumId w:val="82"/>
  </w:num>
  <w:num w:numId="7">
    <w:abstractNumId w:val="19"/>
  </w:num>
  <w:num w:numId="8">
    <w:abstractNumId w:val="102"/>
  </w:num>
  <w:num w:numId="9">
    <w:abstractNumId w:val="7"/>
  </w:num>
  <w:num w:numId="10">
    <w:abstractNumId w:val="72"/>
  </w:num>
  <w:num w:numId="11">
    <w:abstractNumId w:val="4"/>
  </w:num>
  <w:num w:numId="12">
    <w:abstractNumId w:val="10"/>
  </w:num>
  <w:num w:numId="13">
    <w:abstractNumId w:val="26"/>
  </w:num>
  <w:num w:numId="14">
    <w:abstractNumId w:val="36"/>
  </w:num>
  <w:num w:numId="15">
    <w:abstractNumId w:val="41"/>
  </w:num>
  <w:num w:numId="16">
    <w:abstractNumId w:val="98"/>
  </w:num>
  <w:num w:numId="17">
    <w:abstractNumId w:val="91"/>
  </w:num>
  <w:num w:numId="18">
    <w:abstractNumId w:val="71"/>
  </w:num>
  <w:num w:numId="19">
    <w:abstractNumId w:val="61"/>
  </w:num>
  <w:num w:numId="20">
    <w:abstractNumId w:val="65"/>
  </w:num>
  <w:num w:numId="21">
    <w:abstractNumId w:val="6"/>
  </w:num>
  <w:num w:numId="22">
    <w:abstractNumId w:val="6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73"/>
  </w:num>
  <w:num w:numId="25">
    <w:abstractNumId w:val="99"/>
  </w:num>
  <w:num w:numId="26">
    <w:abstractNumId w:val="83"/>
  </w:num>
  <w:num w:numId="27">
    <w:abstractNumId w:val="52"/>
  </w:num>
  <w:num w:numId="28">
    <w:abstractNumId w:val="43"/>
  </w:num>
  <w:num w:numId="29">
    <w:abstractNumId w:val="46"/>
  </w:num>
  <w:num w:numId="30">
    <w:abstractNumId w:val="76"/>
  </w:num>
  <w:num w:numId="31">
    <w:abstractNumId w:val="24"/>
  </w:num>
  <w:num w:numId="32">
    <w:abstractNumId w:val="3"/>
  </w:num>
  <w:num w:numId="33">
    <w:abstractNumId w:val="5"/>
  </w:num>
  <w:num w:numId="34">
    <w:abstractNumId w:val="92"/>
  </w:num>
  <w:num w:numId="35">
    <w:abstractNumId w:val="29"/>
  </w:num>
  <w:num w:numId="36">
    <w:abstractNumId w:val="59"/>
  </w:num>
  <w:num w:numId="37">
    <w:abstractNumId w:val="86"/>
  </w:num>
  <w:num w:numId="38">
    <w:abstractNumId w:val="64"/>
  </w:num>
  <w:num w:numId="39">
    <w:abstractNumId w:val="95"/>
  </w:num>
  <w:num w:numId="40">
    <w:abstractNumId w:val="44"/>
  </w:num>
  <w:num w:numId="41">
    <w:abstractNumId w:val="40"/>
  </w:num>
  <w:num w:numId="42">
    <w:abstractNumId w:val="14"/>
  </w:num>
  <w:num w:numId="43">
    <w:abstractNumId w:val="42"/>
  </w:num>
  <w:num w:numId="44">
    <w:abstractNumId w:val="51"/>
  </w:num>
  <w:num w:numId="45">
    <w:abstractNumId w:val="11"/>
  </w:num>
  <w:num w:numId="46">
    <w:abstractNumId w:val="35"/>
  </w:num>
  <w:num w:numId="47">
    <w:abstractNumId w:val="35"/>
    <w:lvlOverride w:ilvl="0">
      <w:startOverride w:val="1"/>
    </w:lvlOverride>
  </w:num>
  <w:num w:numId="48">
    <w:abstractNumId w:val="31"/>
  </w:num>
  <w:num w:numId="49">
    <w:abstractNumId w:val="62"/>
  </w:num>
  <w:num w:numId="50">
    <w:abstractNumId w:val="1"/>
  </w:num>
  <w:num w:numId="51">
    <w:abstractNumId w:val="33"/>
  </w:num>
  <w:num w:numId="52">
    <w:abstractNumId w:val="12"/>
  </w:num>
  <w:num w:numId="53">
    <w:abstractNumId w:val="37"/>
  </w:num>
  <w:num w:numId="54">
    <w:abstractNumId w:val="90"/>
  </w:num>
  <w:num w:numId="55">
    <w:abstractNumId w:val="54"/>
  </w:num>
  <w:num w:numId="56">
    <w:abstractNumId w:val="16"/>
  </w:num>
  <w:num w:numId="57">
    <w:abstractNumId w:val="84"/>
  </w:num>
  <w:num w:numId="58">
    <w:abstractNumId w:val="8"/>
  </w:num>
  <w:num w:numId="59">
    <w:abstractNumId w:val="36"/>
  </w:num>
  <w:num w:numId="60">
    <w:abstractNumId w:val="34"/>
  </w:num>
  <w:num w:numId="61">
    <w:abstractNumId w:val="50"/>
  </w:num>
  <w:num w:numId="62">
    <w:abstractNumId w:val="55"/>
  </w:num>
  <w:num w:numId="63">
    <w:abstractNumId w:val="49"/>
  </w:num>
  <w:num w:numId="64">
    <w:abstractNumId w:val="78"/>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45"/>
  </w:num>
  <w:num w:numId="68">
    <w:abstractNumId w:val="15"/>
  </w:num>
  <w:num w:numId="69">
    <w:abstractNumId w:val="96"/>
  </w:num>
  <w:num w:numId="70">
    <w:abstractNumId w:val="25"/>
  </w:num>
  <w:num w:numId="71">
    <w:abstractNumId w:val="79"/>
  </w:num>
  <w:num w:numId="72">
    <w:abstractNumId w:val="58"/>
  </w:num>
  <w:num w:numId="73">
    <w:abstractNumId w:val="9"/>
  </w:num>
  <w:num w:numId="74">
    <w:abstractNumId w:val="56"/>
  </w:num>
  <w:num w:numId="75">
    <w:abstractNumId w:val="70"/>
  </w:num>
  <w:num w:numId="76">
    <w:abstractNumId w:val="22"/>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num>
  <w:num w:numId="79">
    <w:abstractNumId w:val="103"/>
  </w:num>
  <w:num w:numId="80">
    <w:abstractNumId w:val="85"/>
  </w:num>
  <w:num w:numId="81">
    <w:abstractNumId w:val="100"/>
  </w:num>
  <w:num w:numId="82">
    <w:abstractNumId w:val="28"/>
  </w:num>
  <w:num w:numId="83">
    <w:abstractNumId w:val="39"/>
  </w:num>
  <w:num w:numId="84">
    <w:abstractNumId w:val="47"/>
  </w:num>
  <w:num w:numId="85">
    <w:abstractNumId w:val="66"/>
  </w:num>
  <w:num w:numId="86">
    <w:abstractNumId w:val="0"/>
  </w:num>
  <w:num w:numId="87">
    <w:abstractNumId w:val="18"/>
  </w:num>
  <w:num w:numId="88">
    <w:abstractNumId w:val="69"/>
  </w:num>
  <w:num w:numId="89">
    <w:abstractNumId w:val="27"/>
  </w:num>
  <w:num w:numId="90">
    <w:abstractNumId w:val="30"/>
  </w:num>
  <w:num w:numId="91">
    <w:abstractNumId w:val="21"/>
  </w:num>
  <w:num w:numId="92">
    <w:abstractNumId w:val="20"/>
  </w:num>
  <w:num w:numId="93">
    <w:abstractNumId w:val="38"/>
  </w:num>
  <w:num w:numId="9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7"/>
  </w:num>
  <w:num w:numId="96">
    <w:abstractNumId w:val="88"/>
  </w:num>
  <w:num w:numId="97">
    <w:abstractNumId w:val="57"/>
  </w:num>
  <w:num w:numId="98">
    <w:abstractNumId w:val="87"/>
  </w:num>
  <w:num w:numId="99">
    <w:abstractNumId w:val="101"/>
  </w:num>
  <w:num w:numId="100">
    <w:abstractNumId w:val="93"/>
  </w:num>
  <w:num w:numId="101">
    <w:abstractNumId w:val="74"/>
  </w:num>
  <w:num w:numId="102">
    <w:abstractNumId w:val="75"/>
  </w:num>
  <w:num w:numId="103">
    <w:abstractNumId w:val="77"/>
  </w:num>
  <w:num w:numId="104">
    <w:abstractNumId w:val="94"/>
  </w:num>
  <w:num w:numId="105">
    <w:abstractNumId w:val="48"/>
  </w:num>
  <w:num w:numId="106">
    <w:abstractNumId w:val="63"/>
  </w:num>
  <w:num w:numId="10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1"/>
  </w:num>
  <w:num w:numId="109">
    <w:abstractNumId w:val="2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10341"/>
    <w:rsid w:val="00013B13"/>
    <w:rsid w:val="00017690"/>
    <w:rsid w:val="00017937"/>
    <w:rsid w:val="00023789"/>
    <w:rsid w:val="00023C4E"/>
    <w:rsid w:val="0002429A"/>
    <w:rsid w:val="000264EC"/>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C60"/>
    <w:rsid w:val="00071E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418F4"/>
    <w:rsid w:val="00142307"/>
    <w:rsid w:val="00142E03"/>
    <w:rsid w:val="0014628C"/>
    <w:rsid w:val="00151D52"/>
    <w:rsid w:val="0015629D"/>
    <w:rsid w:val="001604EB"/>
    <w:rsid w:val="001632DC"/>
    <w:rsid w:val="0016519B"/>
    <w:rsid w:val="001666C5"/>
    <w:rsid w:val="0017499E"/>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6566"/>
    <w:rsid w:val="001D585A"/>
    <w:rsid w:val="001E0AC3"/>
    <w:rsid w:val="001F043F"/>
    <w:rsid w:val="001F0D28"/>
    <w:rsid w:val="001F35AC"/>
    <w:rsid w:val="001F5ABF"/>
    <w:rsid w:val="001F798D"/>
    <w:rsid w:val="00200976"/>
    <w:rsid w:val="00203597"/>
    <w:rsid w:val="00204D22"/>
    <w:rsid w:val="00207827"/>
    <w:rsid w:val="00217703"/>
    <w:rsid w:val="0022699A"/>
    <w:rsid w:val="00230EF4"/>
    <w:rsid w:val="00231387"/>
    <w:rsid w:val="00232746"/>
    <w:rsid w:val="0023602C"/>
    <w:rsid w:val="002360F7"/>
    <w:rsid w:val="00236BAD"/>
    <w:rsid w:val="00236CED"/>
    <w:rsid w:val="00242C26"/>
    <w:rsid w:val="002543F5"/>
    <w:rsid w:val="0026178D"/>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1203"/>
    <w:rsid w:val="002B358F"/>
    <w:rsid w:val="002B3C60"/>
    <w:rsid w:val="002B446F"/>
    <w:rsid w:val="002B4F9E"/>
    <w:rsid w:val="002B7001"/>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7D61"/>
    <w:rsid w:val="00320520"/>
    <w:rsid w:val="00320711"/>
    <w:rsid w:val="00326C5E"/>
    <w:rsid w:val="0032768F"/>
    <w:rsid w:val="00327F68"/>
    <w:rsid w:val="0033142B"/>
    <w:rsid w:val="0033389B"/>
    <w:rsid w:val="00333E12"/>
    <w:rsid w:val="0033487F"/>
    <w:rsid w:val="003353C6"/>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1153"/>
    <w:rsid w:val="00382355"/>
    <w:rsid w:val="003830AE"/>
    <w:rsid w:val="00385DBF"/>
    <w:rsid w:val="00386320"/>
    <w:rsid w:val="00390DB4"/>
    <w:rsid w:val="00391DC8"/>
    <w:rsid w:val="0039221C"/>
    <w:rsid w:val="00396B1A"/>
    <w:rsid w:val="003A35F8"/>
    <w:rsid w:val="003A4701"/>
    <w:rsid w:val="003A6106"/>
    <w:rsid w:val="003A73A0"/>
    <w:rsid w:val="003B369C"/>
    <w:rsid w:val="003C3866"/>
    <w:rsid w:val="003C3BD8"/>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2438"/>
    <w:rsid w:val="004E45B5"/>
    <w:rsid w:val="004E6328"/>
    <w:rsid w:val="004E7A4E"/>
    <w:rsid w:val="004F169B"/>
    <w:rsid w:val="004F1986"/>
    <w:rsid w:val="004F2EFF"/>
    <w:rsid w:val="004F4438"/>
    <w:rsid w:val="004F5D5D"/>
    <w:rsid w:val="004F72A2"/>
    <w:rsid w:val="00501123"/>
    <w:rsid w:val="005011DB"/>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1C34"/>
    <w:rsid w:val="005523DE"/>
    <w:rsid w:val="00552908"/>
    <w:rsid w:val="00553946"/>
    <w:rsid w:val="00554BE7"/>
    <w:rsid w:val="005550F4"/>
    <w:rsid w:val="00555137"/>
    <w:rsid w:val="0056579C"/>
    <w:rsid w:val="00566BCA"/>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9C7"/>
    <w:rsid w:val="005A3F82"/>
    <w:rsid w:val="005A57C0"/>
    <w:rsid w:val="005A5CF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12F3"/>
    <w:rsid w:val="005F2AC8"/>
    <w:rsid w:val="005F4E75"/>
    <w:rsid w:val="005F5954"/>
    <w:rsid w:val="00604302"/>
    <w:rsid w:val="00604ABF"/>
    <w:rsid w:val="0060535E"/>
    <w:rsid w:val="00605561"/>
    <w:rsid w:val="006065D2"/>
    <w:rsid w:val="006073AB"/>
    <w:rsid w:val="00616812"/>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C0691"/>
    <w:rsid w:val="006C28DC"/>
    <w:rsid w:val="006C7A4D"/>
    <w:rsid w:val="006D1AB8"/>
    <w:rsid w:val="006D1CAE"/>
    <w:rsid w:val="006D589C"/>
    <w:rsid w:val="006D6573"/>
    <w:rsid w:val="006D7089"/>
    <w:rsid w:val="006E07D0"/>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72DA"/>
    <w:rsid w:val="0082760A"/>
    <w:rsid w:val="008278C1"/>
    <w:rsid w:val="0083138F"/>
    <w:rsid w:val="008331F0"/>
    <w:rsid w:val="00834BCC"/>
    <w:rsid w:val="00835AF0"/>
    <w:rsid w:val="0083701C"/>
    <w:rsid w:val="0083727A"/>
    <w:rsid w:val="00837982"/>
    <w:rsid w:val="0084076D"/>
    <w:rsid w:val="0084118F"/>
    <w:rsid w:val="00850462"/>
    <w:rsid w:val="008531BD"/>
    <w:rsid w:val="00861165"/>
    <w:rsid w:val="0086249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CA2"/>
    <w:rsid w:val="008E709B"/>
    <w:rsid w:val="008E7232"/>
    <w:rsid w:val="008F4A3C"/>
    <w:rsid w:val="008F4B61"/>
    <w:rsid w:val="008F7813"/>
    <w:rsid w:val="0090015B"/>
    <w:rsid w:val="009013C1"/>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709E7"/>
    <w:rsid w:val="0097426C"/>
    <w:rsid w:val="00977BF4"/>
    <w:rsid w:val="009856A4"/>
    <w:rsid w:val="009875C3"/>
    <w:rsid w:val="00990A36"/>
    <w:rsid w:val="00992268"/>
    <w:rsid w:val="00992280"/>
    <w:rsid w:val="009926AA"/>
    <w:rsid w:val="00992762"/>
    <w:rsid w:val="00992C44"/>
    <w:rsid w:val="009965CD"/>
    <w:rsid w:val="009A05B8"/>
    <w:rsid w:val="009A48DC"/>
    <w:rsid w:val="009B000D"/>
    <w:rsid w:val="009B12A3"/>
    <w:rsid w:val="009B53E1"/>
    <w:rsid w:val="009C4A83"/>
    <w:rsid w:val="009C52A7"/>
    <w:rsid w:val="009C681C"/>
    <w:rsid w:val="009C7BDD"/>
    <w:rsid w:val="009D0B2A"/>
    <w:rsid w:val="009D1C36"/>
    <w:rsid w:val="009E0409"/>
    <w:rsid w:val="009E1AD3"/>
    <w:rsid w:val="009E5345"/>
    <w:rsid w:val="009E5BC7"/>
    <w:rsid w:val="009E6B40"/>
    <w:rsid w:val="009F2815"/>
    <w:rsid w:val="009F2F72"/>
    <w:rsid w:val="009F35A8"/>
    <w:rsid w:val="009F3E47"/>
    <w:rsid w:val="009F6658"/>
    <w:rsid w:val="009F7AE8"/>
    <w:rsid w:val="00A014DE"/>
    <w:rsid w:val="00A019CD"/>
    <w:rsid w:val="00A027A3"/>
    <w:rsid w:val="00A03222"/>
    <w:rsid w:val="00A051B7"/>
    <w:rsid w:val="00A05B89"/>
    <w:rsid w:val="00A06D30"/>
    <w:rsid w:val="00A1447F"/>
    <w:rsid w:val="00A14F0D"/>
    <w:rsid w:val="00A1583A"/>
    <w:rsid w:val="00A16BBF"/>
    <w:rsid w:val="00A21BF9"/>
    <w:rsid w:val="00A25204"/>
    <w:rsid w:val="00A25DA0"/>
    <w:rsid w:val="00A30D26"/>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371D"/>
    <w:rsid w:val="00A753DE"/>
    <w:rsid w:val="00A7566D"/>
    <w:rsid w:val="00A81E87"/>
    <w:rsid w:val="00A831A0"/>
    <w:rsid w:val="00A839D7"/>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B16E8"/>
    <w:rsid w:val="00BB1DCE"/>
    <w:rsid w:val="00BB623D"/>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3B0C"/>
    <w:rsid w:val="00C150B8"/>
    <w:rsid w:val="00C16709"/>
    <w:rsid w:val="00C16A2B"/>
    <w:rsid w:val="00C17699"/>
    <w:rsid w:val="00C2401F"/>
    <w:rsid w:val="00C27195"/>
    <w:rsid w:val="00C2774D"/>
    <w:rsid w:val="00C33CC0"/>
    <w:rsid w:val="00C40D07"/>
    <w:rsid w:val="00C41500"/>
    <w:rsid w:val="00C44113"/>
    <w:rsid w:val="00C44990"/>
    <w:rsid w:val="00C467E2"/>
    <w:rsid w:val="00C50D43"/>
    <w:rsid w:val="00C51A1D"/>
    <w:rsid w:val="00C5342A"/>
    <w:rsid w:val="00C53F7F"/>
    <w:rsid w:val="00C575B9"/>
    <w:rsid w:val="00C65F70"/>
    <w:rsid w:val="00C72FA3"/>
    <w:rsid w:val="00C738BC"/>
    <w:rsid w:val="00C80418"/>
    <w:rsid w:val="00C81073"/>
    <w:rsid w:val="00C831B9"/>
    <w:rsid w:val="00C83A60"/>
    <w:rsid w:val="00C83DA2"/>
    <w:rsid w:val="00C8532C"/>
    <w:rsid w:val="00C862DC"/>
    <w:rsid w:val="00C91EDE"/>
    <w:rsid w:val="00C952F7"/>
    <w:rsid w:val="00CA14A2"/>
    <w:rsid w:val="00CA4F48"/>
    <w:rsid w:val="00CA5873"/>
    <w:rsid w:val="00CA62B4"/>
    <w:rsid w:val="00CA712B"/>
    <w:rsid w:val="00CB20E1"/>
    <w:rsid w:val="00CB264C"/>
    <w:rsid w:val="00CC1B84"/>
    <w:rsid w:val="00CC4290"/>
    <w:rsid w:val="00CC4419"/>
    <w:rsid w:val="00CC74B8"/>
    <w:rsid w:val="00CD29FD"/>
    <w:rsid w:val="00CD6750"/>
    <w:rsid w:val="00CE04D7"/>
    <w:rsid w:val="00CE212C"/>
    <w:rsid w:val="00CE4FFF"/>
    <w:rsid w:val="00CE6019"/>
    <w:rsid w:val="00CF07F7"/>
    <w:rsid w:val="00CF12C7"/>
    <w:rsid w:val="00CF5591"/>
    <w:rsid w:val="00D00AF7"/>
    <w:rsid w:val="00D0181F"/>
    <w:rsid w:val="00D02C44"/>
    <w:rsid w:val="00D03143"/>
    <w:rsid w:val="00D121AB"/>
    <w:rsid w:val="00D16AC9"/>
    <w:rsid w:val="00D179B7"/>
    <w:rsid w:val="00D17E92"/>
    <w:rsid w:val="00D208C2"/>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2737"/>
    <w:rsid w:val="00D82F9C"/>
    <w:rsid w:val="00D83E34"/>
    <w:rsid w:val="00D87E73"/>
    <w:rsid w:val="00D929E1"/>
    <w:rsid w:val="00D937F5"/>
    <w:rsid w:val="00D93DD9"/>
    <w:rsid w:val="00D9660A"/>
    <w:rsid w:val="00DA3B3F"/>
    <w:rsid w:val="00DA7E19"/>
    <w:rsid w:val="00DB38AA"/>
    <w:rsid w:val="00DB59EA"/>
    <w:rsid w:val="00DB6581"/>
    <w:rsid w:val="00DC1A4C"/>
    <w:rsid w:val="00DC3159"/>
    <w:rsid w:val="00DC48C8"/>
    <w:rsid w:val="00DC607E"/>
    <w:rsid w:val="00DD02EE"/>
    <w:rsid w:val="00DD293A"/>
    <w:rsid w:val="00DD367C"/>
    <w:rsid w:val="00DD4FFB"/>
    <w:rsid w:val="00DD583A"/>
    <w:rsid w:val="00DD5A2E"/>
    <w:rsid w:val="00DE1C4A"/>
    <w:rsid w:val="00DE1FA6"/>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E20"/>
    <w:rsid w:val="00E243FC"/>
    <w:rsid w:val="00E249A9"/>
    <w:rsid w:val="00E25510"/>
    <w:rsid w:val="00E271F4"/>
    <w:rsid w:val="00E27DC6"/>
    <w:rsid w:val="00E300F2"/>
    <w:rsid w:val="00E3065E"/>
    <w:rsid w:val="00E307B5"/>
    <w:rsid w:val="00E37D01"/>
    <w:rsid w:val="00E37F4F"/>
    <w:rsid w:val="00E442FD"/>
    <w:rsid w:val="00E54C83"/>
    <w:rsid w:val="00E55F2A"/>
    <w:rsid w:val="00E57C32"/>
    <w:rsid w:val="00E60851"/>
    <w:rsid w:val="00E62868"/>
    <w:rsid w:val="00E64B69"/>
    <w:rsid w:val="00E67337"/>
    <w:rsid w:val="00E67848"/>
    <w:rsid w:val="00E67D84"/>
    <w:rsid w:val="00E67D8F"/>
    <w:rsid w:val="00E7061A"/>
    <w:rsid w:val="00E728B6"/>
    <w:rsid w:val="00E75118"/>
    <w:rsid w:val="00E76F60"/>
    <w:rsid w:val="00E802CD"/>
    <w:rsid w:val="00E8353F"/>
    <w:rsid w:val="00E87227"/>
    <w:rsid w:val="00E957FD"/>
    <w:rsid w:val="00E97C2D"/>
    <w:rsid w:val="00EA3CFE"/>
    <w:rsid w:val="00EA4001"/>
    <w:rsid w:val="00EA563C"/>
    <w:rsid w:val="00EA565C"/>
    <w:rsid w:val="00EA777F"/>
    <w:rsid w:val="00EB6173"/>
    <w:rsid w:val="00EB6766"/>
    <w:rsid w:val="00EB7E1B"/>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5DF"/>
    <w:rsid w:val="00F01D33"/>
    <w:rsid w:val="00F04EBA"/>
    <w:rsid w:val="00F05508"/>
    <w:rsid w:val="00F141D8"/>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86B23"/>
    <w:rsid w:val="00F90191"/>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image" Target="media/image25.wmf"/><Relationship Id="rId68" Type="http://schemas.openxmlformats.org/officeDocument/2006/relationships/oleObject" Target="embeddings/oleObject34.bin"/><Relationship Id="rId76" Type="http://schemas.openxmlformats.org/officeDocument/2006/relationships/image" Target="media/image27.wmf"/><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image" Target="media/image32.wmf"/><Relationship Id="rId95" Type="http://schemas.openxmlformats.org/officeDocument/2006/relationships/oleObject" Target="embeddings/oleObject50.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9.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oleObject" Target="embeddings/oleObject48.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4.wmf"/><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A48A-FF37-4815-8D32-C00D0914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16679</Words>
  <Characters>95075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111531</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Кулик</cp:lastModifiedBy>
  <cp:revision>4</cp:revision>
  <cp:lastPrinted>2019-03-15T11:13:00Z</cp:lastPrinted>
  <dcterms:created xsi:type="dcterms:W3CDTF">2019-04-17T12:38:00Z</dcterms:created>
  <dcterms:modified xsi:type="dcterms:W3CDTF">2019-04-17T13:00:00Z</dcterms:modified>
</cp:coreProperties>
</file>